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73987">
      <w:pPr>
        <w:snapToGrid w:val="0"/>
        <w:spacing w:line="440" w:lineRule="atLeast"/>
        <w:ind w:firstLine="465"/>
        <w:jc w:val="center"/>
        <w:rPr>
          <w:rFonts w:ascii="宋体" w:hAnsi="宋体"/>
          <w:b/>
          <w:sz w:val="36"/>
          <w:szCs w:val="36"/>
          <w:lang w:val="zh-CN"/>
        </w:rPr>
      </w:pPr>
      <w:r>
        <w:rPr>
          <w:rFonts w:hint="eastAsia" w:ascii="宋体" w:hAnsi="宋体"/>
          <w:b/>
          <w:sz w:val="36"/>
          <w:szCs w:val="36"/>
          <w:lang w:val="zh-CN" w:eastAsia="zh-CN"/>
        </w:rPr>
        <w:t>江阴市军队离退休干部服务中心改造工程清单</w:t>
      </w:r>
      <w:r>
        <w:rPr>
          <w:rFonts w:hint="eastAsia" w:ascii="宋体" w:hAnsi="宋体"/>
          <w:b/>
          <w:sz w:val="36"/>
          <w:szCs w:val="36"/>
          <w:lang w:val="zh-CN"/>
        </w:rPr>
        <w:t>编制说明</w:t>
      </w:r>
    </w:p>
    <w:p w14:paraId="160ABD03">
      <w:pPr>
        <w:snapToGrid w:val="0"/>
        <w:spacing w:line="440" w:lineRule="atLeast"/>
        <w:rPr>
          <w:rFonts w:ascii="宋体" w:hAnsi="宋体" w:cs="宋体"/>
          <w:bCs/>
          <w:szCs w:val="21"/>
          <w:lang w:val="zh-CN"/>
        </w:rPr>
      </w:pPr>
    </w:p>
    <w:p w14:paraId="73135E85">
      <w:pPr>
        <w:numPr>
          <w:ilvl w:val="0"/>
          <w:numId w:val="1"/>
        </w:numPr>
        <w:snapToGrid w:val="0"/>
        <w:spacing w:line="440" w:lineRule="atLeast"/>
        <w:rPr>
          <w:rFonts w:ascii="宋体" w:hAnsi="宋体" w:cs="宋体"/>
          <w:b/>
          <w:sz w:val="24"/>
          <w:lang w:val="zh-CN"/>
        </w:rPr>
      </w:pPr>
      <w:r>
        <w:rPr>
          <w:rFonts w:hint="eastAsia" w:ascii="宋体" w:hAnsi="宋体" w:cs="宋体"/>
          <w:b/>
          <w:sz w:val="24"/>
          <w:lang w:val="zh-CN"/>
        </w:rPr>
        <w:t>工程概况：</w:t>
      </w:r>
    </w:p>
    <w:p w14:paraId="041BEA4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宋体" w:hAnsi="宋体" w:cs="宋体"/>
          <w:bCs/>
          <w:sz w:val="24"/>
        </w:rPr>
      </w:pPr>
      <w:r>
        <w:rPr>
          <w:rFonts w:hint="eastAsia" w:ascii="宋体" w:hAnsi="宋体" w:cs="宋体"/>
          <w:bCs/>
          <w:sz w:val="24"/>
          <w:lang w:val="zh-CN" w:eastAsia="zh-CN"/>
        </w:rPr>
        <w:t>　　江阴市军队离退休干部服务中心改造工程</w:t>
      </w:r>
      <w:r>
        <w:rPr>
          <w:rFonts w:hint="eastAsia" w:ascii="宋体" w:hAnsi="宋体" w:cs="宋体"/>
          <w:bCs/>
          <w:sz w:val="24"/>
          <w:lang w:eastAsia="zh-CN"/>
        </w:rPr>
        <w:t>主要</w:t>
      </w:r>
      <w:r>
        <w:rPr>
          <w:rFonts w:hint="eastAsia" w:ascii="宋体" w:hAnsi="宋体" w:cs="宋体"/>
          <w:bCs/>
          <w:sz w:val="24"/>
        </w:rPr>
        <w:t>改造内容为</w:t>
      </w:r>
      <w:r>
        <w:rPr>
          <w:rFonts w:hint="eastAsia" w:ascii="宋体" w:hAnsi="宋体" w:cs="宋体"/>
          <w:bCs/>
          <w:sz w:val="24"/>
          <w:lang w:eastAsia="zh-CN"/>
        </w:rPr>
        <w:t>：一、</w:t>
      </w:r>
      <w:r>
        <w:rPr>
          <w:rFonts w:hint="eastAsia" w:ascii="宋体" w:hAnsi="宋体" w:cs="宋体"/>
          <w:bCs/>
          <w:sz w:val="24"/>
          <w:lang w:val="en-US" w:eastAsia="zh-CN"/>
        </w:rPr>
        <w:t>拆除修缮工程：1、</w:t>
      </w:r>
      <w:r>
        <w:rPr>
          <w:rFonts w:hint="eastAsia" w:ascii="宋体" w:hAnsi="宋体" w:cs="宋体"/>
          <w:bCs/>
          <w:sz w:val="24"/>
        </w:rPr>
        <w:t>原</w:t>
      </w:r>
      <w:r>
        <w:rPr>
          <w:rFonts w:hint="eastAsia" w:ascii="宋体" w:hAnsi="宋体" w:cs="宋体"/>
          <w:bCs/>
          <w:sz w:val="24"/>
          <w:lang w:eastAsia="zh-CN"/>
        </w:rPr>
        <w:t>办公楼二至四层趟走道地胶、踢脚线更换，四层会议室地板更换，门窗及幕墙维修、更换，增设窗纱、窗帘，外墙涂料出新，局部防水改造，落水管更换，增设木质装饰柜等。</w:t>
      </w:r>
      <w:r>
        <w:rPr>
          <w:rFonts w:hint="eastAsia" w:ascii="宋体" w:hAnsi="宋体" w:cs="宋体"/>
          <w:bCs/>
          <w:sz w:val="24"/>
          <w:lang w:val="en-US" w:eastAsia="zh-CN"/>
        </w:rPr>
        <w:t>2、增设膜结构车棚。3、办公楼东侧活动室1原瓦屋面防水改造、落水管更换等。3、办公楼北侧原自行车棚钢架油漆出新。地沟盖板更换为不锈钢盖板，增设彩钢夹心板隔墙及门窗，增设石材地面等。4、东北角洗动室2增设PVC地胶，加设不锈钢防盗窗及窗帘等。5、东南角活动室3增设成品铝合金雨篷，增设不锈钢门及门套，局部屋面防水改造，落水管更换，外墙涂料出新，增设PVC地胶楼面等。6、西南角活动室4局部屋面防水改造。7、门卫屋面防水改造，、门球场钢架没漆出新。8、食堂天棚改造为铝板天棚，屋面改造，落水管更换。9、浴室原楼梯拆除、新建钢楼梯，原屋面改造，增设钢筋砼阳台屋面，落水管更换。二、安装工程主要内容：1、卫生设施及饮水设备安装。2、会议室照明及增加投影设备。3、东北角活动室二层增加投影及音箱话筒等。4、门卫、食堂照明安装。</w:t>
      </w:r>
      <w:r>
        <w:rPr>
          <w:rFonts w:hint="eastAsia" w:ascii="宋体" w:hAnsi="宋体" w:cs="宋体"/>
          <w:bCs/>
          <w:sz w:val="24"/>
        </w:rPr>
        <w:t>具体详见设计施工图及工程量清单。</w:t>
      </w:r>
    </w:p>
    <w:p w14:paraId="4CE9A043">
      <w:pPr>
        <w:numPr>
          <w:ilvl w:val="0"/>
          <w:numId w:val="2"/>
        </w:numPr>
        <w:snapToGrid w:val="0"/>
        <w:spacing w:line="440" w:lineRule="atLeast"/>
        <w:rPr>
          <w:rFonts w:ascii="宋体" w:hAnsi="宋体" w:cs="宋体"/>
          <w:b/>
          <w:sz w:val="24"/>
          <w:lang w:val="zh-CN"/>
        </w:rPr>
      </w:pPr>
      <w:r>
        <w:rPr>
          <w:rFonts w:hint="eastAsia" w:ascii="宋体" w:hAnsi="宋体" w:cs="宋体"/>
          <w:b/>
          <w:sz w:val="24"/>
          <w:lang w:val="zh-CN"/>
        </w:rPr>
        <w:t>编制范围：</w:t>
      </w:r>
    </w:p>
    <w:p w14:paraId="1955FA28">
      <w:pPr>
        <w:snapToGrid w:val="0"/>
        <w:spacing w:line="440" w:lineRule="atLeast"/>
        <w:rPr>
          <w:rFonts w:ascii="宋体" w:hAnsi="宋体" w:cs="宋体"/>
          <w:bCs/>
          <w:sz w:val="24"/>
        </w:rPr>
      </w:pPr>
      <w:r>
        <w:rPr>
          <w:rFonts w:hint="eastAsia" w:ascii="宋体" w:hAnsi="宋体" w:cs="宋体"/>
          <w:bCs/>
          <w:sz w:val="24"/>
        </w:rPr>
        <w:t xml:space="preserve">     本次编制范围为</w:t>
      </w:r>
      <w:r>
        <w:rPr>
          <w:rFonts w:hint="eastAsia" w:ascii="宋体" w:hAnsi="宋体" w:cs="宋体"/>
          <w:bCs/>
          <w:sz w:val="24"/>
          <w:lang w:val="zh-CN" w:eastAsia="zh-CN"/>
        </w:rPr>
        <w:t>本项目施工图</w:t>
      </w:r>
      <w:r>
        <w:rPr>
          <w:rFonts w:hint="eastAsia" w:ascii="宋体" w:hAnsi="宋体" w:cs="宋体"/>
          <w:bCs/>
          <w:sz w:val="24"/>
        </w:rPr>
        <w:t>内容</w:t>
      </w:r>
      <w:r>
        <w:rPr>
          <w:rFonts w:hint="eastAsia" w:ascii="宋体" w:hAnsi="宋体" w:cs="宋体"/>
          <w:bCs/>
          <w:sz w:val="24"/>
          <w:lang w:eastAsia="zh-CN"/>
        </w:rPr>
        <w:t>及现场具体情况</w:t>
      </w:r>
      <w:r>
        <w:rPr>
          <w:rFonts w:hint="eastAsia" w:ascii="宋体" w:hAnsi="宋体" w:cs="宋体"/>
          <w:bCs/>
          <w:sz w:val="24"/>
          <w:lang w:val="en-US" w:eastAsia="zh-CN"/>
        </w:rPr>
        <w:t>。</w:t>
      </w:r>
      <w:r>
        <w:rPr>
          <w:rFonts w:hint="eastAsia" w:ascii="宋体" w:hAnsi="宋体" w:cs="宋体"/>
          <w:bCs/>
          <w:sz w:val="24"/>
        </w:rPr>
        <w:t>详见设计施工图及工程量清单。</w:t>
      </w:r>
    </w:p>
    <w:p w14:paraId="5BCB0089">
      <w:pPr>
        <w:snapToGrid w:val="0"/>
        <w:spacing w:line="440" w:lineRule="atLeast"/>
        <w:rPr>
          <w:rFonts w:ascii="宋体" w:hAnsi="宋体" w:cs="宋体"/>
          <w:b/>
          <w:sz w:val="24"/>
          <w:lang w:val="zh-CN"/>
        </w:rPr>
      </w:pPr>
      <w:r>
        <w:rPr>
          <w:rFonts w:hint="eastAsia" w:ascii="宋体" w:hAnsi="宋体" w:cs="宋体"/>
          <w:b/>
          <w:sz w:val="24"/>
          <w:lang w:val="zh-CN"/>
        </w:rPr>
        <w:t>三、编制依据：</w:t>
      </w:r>
    </w:p>
    <w:p w14:paraId="6D42244E">
      <w:pPr>
        <w:spacing w:line="440" w:lineRule="exact"/>
        <w:ind w:right="25" w:rightChars="12" w:firstLine="480" w:firstLineChars="200"/>
        <w:rPr>
          <w:rFonts w:ascii="宋体" w:hAnsi="宋体" w:cs="宋体"/>
          <w:bCs/>
          <w:sz w:val="24"/>
        </w:rPr>
      </w:pPr>
      <w:r>
        <w:rPr>
          <w:rFonts w:hint="eastAsia" w:ascii="宋体" w:hAnsi="宋体" w:cs="宋体"/>
          <w:bCs/>
          <w:sz w:val="24"/>
        </w:rPr>
        <w:t>1、</w:t>
      </w:r>
      <w:r>
        <w:rPr>
          <w:rFonts w:hint="eastAsia" w:ascii="宋体" w:hAnsi="宋体" w:cs="宋体"/>
          <w:bCs/>
          <w:sz w:val="24"/>
          <w:lang w:val="zh-CN" w:eastAsia="zh-CN"/>
        </w:rPr>
        <w:t>江阴市军队离退休干部服务中心改造工程</w:t>
      </w:r>
      <w:r>
        <w:rPr>
          <w:rFonts w:hint="eastAsia" w:ascii="宋体" w:hAnsi="宋体" w:cs="宋体"/>
          <w:bCs/>
          <w:sz w:val="24"/>
        </w:rPr>
        <w:t>招标文件。</w:t>
      </w:r>
    </w:p>
    <w:p w14:paraId="32FE0398">
      <w:pPr>
        <w:spacing w:line="440" w:lineRule="exact"/>
        <w:ind w:right="25" w:rightChars="12"/>
        <w:rPr>
          <w:rFonts w:ascii="宋体" w:hAnsi="宋体" w:cs="宋体"/>
          <w:sz w:val="24"/>
        </w:rPr>
      </w:pPr>
      <w:r>
        <w:rPr>
          <w:rFonts w:hint="eastAsia" w:ascii="宋体" w:hAnsi="宋体" w:cs="宋体"/>
          <w:bCs/>
          <w:sz w:val="24"/>
        </w:rPr>
        <w:t>　　2、建设单位提供的</w:t>
      </w:r>
      <w:r>
        <w:rPr>
          <w:rFonts w:hint="eastAsia" w:ascii="宋体" w:hAnsi="宋体" w:cs="宋体"/>
          <w:bCs/>
          <w:sz w:val="24"/>
          <w:lang w:val="zh-CN" w:eastAsia="zh-CN"/>
        </w:rPr>
        <w:t>江阴市军队离休干部服务中心改造工程</w:t>
      </w:r>
      <w:r>
        <w:rPr>
          <w:rFonts w:hint="eastAsia" w:ascii="宋体" w:hAnsi="宋体" w:cs="宋体"/>
          <w:bCs/>
          <w:sz w:val="24"/>
        </w:rPr>
        <w:t>施工图。</w:t>
      </w:r>
    </w:p>
    <w:p w14:paraId="090A5E39">
      <w:pPr>
        <w:spacing w:line="440" w:lineRule="exact"/>
        <w:ind w:right="25" w:rightChars="12"/>
        <w:rPr>
          <w:rFonts w:ascii="宋体" w:hAnsi="宋体" w:cs="宋体"/>
          <w:sz w:val="24"/>
        </w:rPr>
      </w:pPr>
      <w:r>
        <w:rPr>
          <w:rFonts w:hint="eastAsia" w:ascii="宋体" w:hAnsi="宋体" w:cs="宋体"/>
          <w:sz w:val="24"/>
        </w:rPr>
        <w:t>　　3、《建设工程工程量清单计价规范》GB50500-2013、</w:t>
      </w:r>
      <w:r>
        <w:rPr>
          <w:rFonts w:hint="eastAsia" w:ascii="宋体" w:hAnsi="宋体" w:cs="宋体"/>
          <w:sz w:val="24"/>
          <w:lang w:val="zh-CN"/>
        </w:rPr>
        <w:t>《</w:t>
      </w:r>
      <w:r>
        <w:rPr>
          <w:rFonts w:hint="eastAsia" w:ascii="宋体" w:hAnsi="宋体" w:cs="宋体"/>
          <w:sz w:val="24"/>
        </w:rPr>
        <w:t>通用安装工程工程量计算规范》（GB50856-2013）、</w:t>
      </w:r>
      <w:r>
        <w:rPr>
          <w:rFonts w:hint="eastAsia" w:ascii="宋体" w:hAnsi="宋体" w:cs="宋体"/>
          <w:sz w:val="24"/>
          <w:lang w:val="zh-CN"/>
        </w:rPr>
        <w:t>《房屋建筑与装饰工程工程量计算规范》（GB5085</w:t>
      </w:r>
      <w:r>
        <w:rPr>
          <w:rFonts w:hint="eastAsia" w:ascii="宋体" w:hAnsi="宋体" w:cs="宋体"/>
          <w:sz w:val="24"/>
        </w:rPr>
        <w:t>4</w:t>
      </w:r>
      <w:r>
        <w:rPr>
          <w:rFonts w:hint="eastAsia" w:ascii="宋体" w:hAnsi="宋体" w:cs="宋体"/>
          <w:sz w:val="24"/>
          <w:lang w:val="zh-CN"/>
        </w:rPr>
        <w:t>-2013）</w:t>
      </w:r>
      <w:r>
        <w:rPr>
          <w:rFonts w:hint="eastAsia" w:ascii="宋体" w:hAnsi="宋体" w:cs="宋体"/>
          <w:sz w:val="24"/>
        </w:rPr>
        <w:t>。</w:t>
      </w:r>
    </w:p>
    <w:p w14:paraId="3632551F">
      <w:pPr>
        <w:spacing w:line="440" w:lineRule="exact"/>
        <w:ind w:right="25" w:rightChars="12" w:firstLine="480" w:firstLineChars="200"/>
        <w:rPr>
          <w:rFonts w:ascii="宋体" w:hAnsi="宋体" w:cs="宋体"/>
          <w:sz w:val="24"/>
        </w:rPr>
      </w:pPr>
      <w:r>
        <w:rPr>
          <w:rFonts w:hint="eastAsia" w:ascii="宋体" w:hAnsi="宋体" w:cs="宋体"/>
          <w:sz w:val="24"/>
        </w:rPr>
        <w:t>4、《江苏省安装工程计价</w:t>
      </w:r>
      <w:r>
        <w:rPr>
          <w:rFonts w:hint="eastAsia" w:ascii="宋体" w:hAnsi="宋体" w:cs="宋体"/>
          <w:sz w:val="24"/>
          <w:lang w:eastAsia="zh-CN"/>
        </w:rPr>
        <w:t>定额</w:t>
      </w:r>
      <w:r>
        <w:rPr>
          <w:rFonts w:hint="eastAsia" w:ascii="宋体" w:hAnsi="宋体" w:cs="宋体"/>
          <w:sz w:val="24"/>
        </w:rPr>
        <w:t>》（2014）、《江苏省建筑与装饰工程计价定额》（2014）</w:t>
      </w:r>
      <w:r>
        <w:rPr>
          <w:rFonts w:hint="eastAsia" w:ascii="宋体" w:hAnsi="宋体" w:cs="宋体"/>
          <w:sz w:val="24"/>
          <w:lang w:eastAsia="zh-CN"/>
        </w:rPr>
        <w:t>、《江苏省修缮建筑定额》（</w:t>
      </w:r>
      <w:r>
        <w:rPr>
          <w:rFonts w:hint="eastAsia" w:ascii="宋体" w:hAnsi="宋体" w:cs="宋体"/>
          <w:sz w:val="24"/>
          <w:lang w:val="en-US" w:eastAsia="zh-CN"/>
        </w:rPr>
        <w:t>2009</w:t>
      </w:r>
      <w:r>
        <w:rPr>
          <w:rFonts w:hint="eastAsia" w:ascii="宋体" w:hAnsi="宋体" w:cs="宋体"/>
          <w:sz w:val="24"/>
          <w:lang w:eastAsia="zh-CN"/>
        </w:rPr>
        <w:t>）</w:t>
      </w:r>
      <w:r>
        <w:rPr>
          <w:rFonts w:hint="eastAsia" w:ascii="宋体" w:hAnsi="宋体" w:cs="宋体"/>
          <w:sz w:val="24"/>
        </w:rPr>
        <w:t>。</w:t>
      </w:r>
    </w:p>
    <w:p w14:paraId="572A137B">
      <w:pPr>
        <w:spacing w:line="440" w:lineRule="exact"/>
        <w:ind w:right="25" w:rightChars="12"/>
        <w:rPr>
          <w:rFonts w:ascii="宋体" w:hAnsi="宋体" w:cs="宋体"/>
          <w:sz w:val="24"/>
        </w:rPr>
      </w:pPr>
      <w:r>
        <w:rPr>
          <w:rFonts w:hint="eastAsia" w:ascii="宋体" w:hAnsi="宋体" w:cs="宋体"/>
          <w:sz w:val="24"/>
        </w:rPr>
        <w:t>　　5、</w:t>
      </w:r>
      <w:r>
        <w:rPr>
          <w:rFonts w:hint="eastAsia" w:ascii="宋体" w:hAnsi="宋体" w:cs="宋体"/>
          <w:sz w:val="24"/>
          <w:lang w:val="zh-CN"/>
        </w:rPr>
        <w:t>《江苏省建设工程费用定额》（2014）营改增后调整及其他相关文件。</w:t>
      </w:r>
    </w:p>
    <w:p w14:paraId="3EAA839F">
      <w:pPr>
        <w:spacing w:line="440" w:lineRule="exact"/>
        <w:ind w:right="25" w:rightChars="12" w:firstLine="480" w:firstLineChars="200"/>
        <w:rPr>
          <w:rFonts w:ascii="宋体" w:hAnsi="宋体" w:cs="宋体"/>
          <w:sz w:val="24"/>
          <w:lang w:val="zh-CN"/>
        </w:rPr>
      </w:pPr>
      <w:r>
        <w:rPr>
          <w:rFonts w:hint="eastAsia" w:ascii="宋体" w:hAnsi="宋体" w:cs="宋体"/>
          <w:sz w:val="24"/>
          <w:lang w:val="en-US" w:eastAsia="zh-CN"/>
        </w:rPr>
        <w:t>6</w:t>
      </w:r>
      <w:r>
        <w:rPr>
          <w:rFonts w:hint="eastAsia" w:ascii="宋体" w:hAnsi="宋体" w:cs="宋体"/>
          <w:sz w:val="24"/>
        </w:rPr>
        <w:t>、</w:t>
      </w:r>
      <w:r>
        <w:rPr>
          <w:rFonts w:hint="eastAsia" w:ascii="宋体" w:hAnsi="宋体" w:cs="宋体"/>
          <w:sz w:val="24"/>
          <w:lang w:val="zh-CN"/>
        </w:rPr>
        <w:t>江阴市建设局颁发的相关造价文件。</w:t>
      </w:r>
    </w:p>
    <w:p w14:paraId="46A74364">
      <w:pPr>
        <w:spacing w:line="440" w:lineRule="exact"/>
        <w:ind w:right="25" w:rightChars="12"/>
        <w:rPr>
          <w:rFonts w:ascii="宋体" w:hAnsi="宋体" w:cs="宋体"/>
          <w:sz w:val="24"/>
        </w:rPr>
      </w:pPr>
      <w:r>
        <w:rPr>
          <w:rFonts w:hint="eastAsia" w:ascii="宋体" w:hAnsi="宋体" w:cs="宋体"/>
          <w:sz w:val="24"/>
        </w:rPr>
        <w:t>　　</w:t>
      </w:r>
      <w:r>
        <w:rPr>
          <w:rFonts w:hint="eastAsia" w:ascii="宋体" w:hAnsi="宋体" w:cs="宋体"/>
          <w:sz w:val="24"/>
          <w:lang w:val="en-US" w:eastAsia="zh-CN"/>
        </w:rPr>
        <w:t>7</w:t>
      </w:r>
      <w:r>
        <w:rPr>
          <w:rFonts w:hint="eastAsia" w:ascii="宋体" w:hAnsi="宋体" w:cs="宋体"/>
          <w:sz w:val="24"/>
        </w:rPr>
        <w:t>、</w:t>
      </w:r>
      <w:r>
        <w:rPr>
          <w:rFonts w:hint="eastAsia" w:ascii="宋体" w:hAnsi="宋体" w:cs="宋体"/>
          <w:sz w:val="24"/>
          <w:lang w:val="zh-CN"/>
        </w:rPr>
        <w:t>本工程按锡建建市【2019】7号文有关增值税计价政策进行调整。</w:t>
      </w:r>
    </w:p>
    <w:p w14:paraId="744CE068">
      <w:pPr>
        <w:spacing w:line="440" w:lineRule="exact"/>
        <w:ind w:right="25" w:rightChars="12"/>
        <w:rPr>
          <w:rFonts w:ascii="宋体" w:hAnsi="宋体" w:cs="宋体"/>
          <w:sz w:val="24"/>
          <w:lang w:val="zh-CN"/>
        </w:rPr>
      </w:pPr>
      <w:r>
        <w:rPr>
          <w:rFonts w:hint="eastAsia" w:ascii="宋体" w:hAnsi="宋体" w:cs="宋体"/>
          <w:sz w:val="24"/>
        </w:rPr>
        <w:t>　　</w:t>
      </w:r>
      <w:r>
        <w:rPr>
          <w:rFonts w:hint="eastAsia" w:ascii="宋体" w:hAnsi="宋体" w:cs="宋体"/>
          <w:sz w:val="24"/>
          <w:lang w:val="en-US" w:eastAsia="zh-CN"/>
        </w:rPr>
        <w:t>8</w:t>
      </w:r>
      <w:r>
        <w:rPr>
          <w:rFonts w:hint="eastAsia" w:ascii="宋体" w:hAnsi="宋体" w:cs="宋体"/>
          <w:sz w:val="24"/>
        </w:rPr>
        <w:t>、</w:t>
      </w:r>
      <w:r>
        <w:rPr>
          <w:rFonts w:hint="eastAsia" w:ascii="宋体" w:hAnsi="宋体" w:cs="宋体"/>
          <w:sz w:val="24"/>
          <w:lang w:val="zh-CN"/>
        </w:rPr>
        <w:t>本工程按锡建建市【2018】17号文计算扬尘污染防治增加费。</w:t>
      </w:r>
    </w:p>
    <w:p w14:paraId="035EC55A">
      <w:pPr>
        <w:spacing w:line="440" w:lineRule="exact"/>
        <w:ind w:right="25" w:rightChars="12" w:firstLine="480" w:firstLineChars="200"/>
        <w:rPr>
          <w:rFonts w:ascii="宋体" w:hAnsi="宋体" w:cs="宋体"/>
          <w:sz w:val="24"/>
        </w:rPr>
      </w:pPr>
      <w:r>
        <w:rPr>
          <w:rFonts w:hint="eastAsia" w:ascii="宋体" w:hAnsi="宋体" w:cs="宋体"/>
          <w:sz w:val="24"/>
          <w:lang w:val="en-US" w:eastAsia="zh-CN"/>
        </w:rPr>
        <w:t>9</w:t>
      </w:r>
      <w:r>
        <w:rPr>
          <w:rFonts w:hint="eastAsia" w:ascii="宋体" w:hAnsi="宋体" w:cs="宋体"/>
          <w:sz w:val="24"/>
        </w:rPr>
        <w:t>、施工规范按照现行的施工规范和操作规程。</w:t>
      </w:r>
    </w:p>
    <w:p w14:paraId="6B86A725">
      <w:pPr>
        <w:spacing w:line="440" w:lineRule="exact"/>
        <w:ind w:right="25" w:rightChars="12"/>
        <w:rPr>
          <w:rFonts w:ascii="宋体" w:hAnsi="宋体" w:cs="宋体"/>
          <w:sz w:val="24"/>
        </w:rPr>
      </w:pPr>
      <w:r>
        <w:rPr>
          <w:rFonts w:hint="eastAsia" w:ascii="宋体" w:hAnsi="宋体" w:cs="宋体"/>
          <w:sz w:val="24"/>
        </w:rPr>
        <w:t>　　</w:t>
      </w:r>
      <w:r>
        <w:rPr>
          <w:rFonts w:hint="eastAsia" w:ascii="宋体" w:hAnsi="宋体" w:cs="宋体"/>
          <w:sz w:val="24"/>
          <w:lang w:val="en-US" w:eastAsia="zh-CN"/>
        </w:rPr>
        <w:t>10</w:t>
      </w:r>
      <w:r>
        <w:rPr>
          <w:rFonts w:hint="eastAsia" w:ascii="宋体" w:hAnsi="宋体" w:cs="宋体"/>
          <w:sz w:val="24"/>
        </w:rPr>
        <w:t>、本工程量清单是依据《建设工程工程量清单计价规范》（GB50845-2013）、</w:t>
      </w:r>
      <w:r>
        <w:rPr>
          <w:rFonts w:hint="eastAsia" w:ascii="宋体" w:hAnsi="宋体" w:cs="宋体"/>
          <w:sz w:val="24"/>
          <w:lang w:val="zh-CN"/>
        </w:rPr>
        <w:t>《</w:t>
      </w:r>
      <w:r>
        <w:rPr>
          <w:rFonts w:hint="eastAsia" w:ascii="宋体" w:hAnsi="宋体" w:cs="宋体"/>
          <w:sz w:val="24"/>
        </w:rPr>
        <w:t>通用安装工程工程量计算规范》（GB50856-2013）中规定的有关工程量计算规则及工程内容编制的,该规范清单“工程内容”中列举了分项工程计量范围内完成本分项工程应有工作内容，凡说明了的工作内容均应包括在报价范围中内。</w:t>
      </w:r>
    </w:p>
    <w:p w14:paraId="3AA8A3A0">
      <w:pPr>
        <w:spacing w:line="440" w:lineRule="exact"/>
        <w:ind w:right="25" w:rightChars="12"/>
        <w:rPr>
          <w:rFonts w:ascii="宋体" w:hAnsi="宋体" w:cs="宋体"/>
          <w:sz w:val="24"/>
        </w:rPr>
      </w:pPr>
      <w:r>
        <w:rPr>
          <w:rFonts w:hint="eastAsia" w:ascii="宋体" w:hAnsi="宋体" w:cs="宋体"/>
          <w:sz w:val="24"/>
        </w:rPr>
        <w:t>　　</w:t>
      </w:r>
      <w:r>
        <w:rPr>
          <w:rFonts w:hint="eastAsia" w:ascii="宋体" w:hAnsi="宋体" w:cs="宋体"/>
          <w:sz w:val="24"/>
          <w:lang w:val="en-US" w:eastAsia="zh-CN"/>
        </w:rPr>
        <w:t>11</w:t>
      </w:r>
      <w:r>
        <w:rPr>
          <w:rFonts w:hint="eastAsia" w:ascii="宋体" w:hAnsi="宋体" w:cs="宋体"/>
          <w:sz w:val="24"/>
        </w:rPr>
        <w:t>、本工程量清单应与招标文件、投标须知、现场情况、工程规范、清单计价规范及相关文件等一起使用。</w:t>
      </w:r>
    </w:p>
    <w:p w14:paraId="54EA7F9B">
      <w:pPr>
        <w:snapToGrid w:val="0"/>
        <w:spacing w:line="440" w:lineRule="atLeast"/>
        <w:rPr>
          <w:rFonts w:hint="eastAsia" w:ascii="宋体" w:hAnsi="宋体" w:cs="宋体"/>
          <w:b/>
          <w:sz w:val="24"/>
          <w:lang w:val="zh-CN"/>
        </w:rPr>
      </w:pPr>
      <w:r>
        <w:rPr>
          <w:rFonts w:hint="eastAsia" w:ascii="宋体" w:hAnsi="宋体" w:cs="宋体"/>
          <w:b/>
          <w:sz w:val="24"/>
          <w:lang w:val="zh-CN"/>
        </w:rPr>
        <w:t>四、工程类别：</w:t>
      </w:r>
    </w:p>
    <w:p w14:paraId="0C65CF87">
      <w:pPr>
        <w:snapToGrid w:val="0"/>
        <w:spacing w:line="440" w:lineRule="atLeast"/>
        <w:rPr>
          <w:rFonts w:ascii="宋体" w:hAnsi="宋体" w:cs="宋体"/>
          <w:b/>
          <w:sz w:val="24"/>
          <w:lang w:val="zh-CN"/>
        </w:rPr>
      </w:pPr>
      <w:r>
        <w:rPr>
          <w:rFonts w:hint="eastAsia" w:ascii="宋体" w:hAnsi="宋体" w:cs="宋体"/>
          <w:b/>
          <w:sz w:val="24"/>
          <w:lang w:val="zh-CN"/>
        </w:rPr>
        <w:t>五、工程质量要求：</w:t>
      </w:r>
      <w:r>
        <w:rPr>
          <w:rFonts w:hint="eastAsia" w:ascii="宋体" w:hAnsi="宋体" w:cs="宋体"/>
          <w:bCs/>
          <w:sz w:val="24"/>
          <w:lang w:val="zh-CN"/>
        </w:rPr>
        <w:t>合格</w:t>
      </w:r>
    </w:p>
    <w:p w14:paraId="0FC4ED28">
      <w:pPr>
        <w:snapToGrid w:val="0"/>
        <w:spacing w:line="440" w:lineRule="atLeast"/>
        <w:rPr>
          <w:rFonts w:ascii="宋体" w:hAnsi="宋体" w:cs="宋体"/>
          <w:bCs/>
          <w:sz w:val="24"/>
          <w:lang w:val="zh-CN"/>
        </w:rPr>
      </w:pPr>
      <w:r>
        <w:rPr>
          <w:rFonts w:hint="eastAsia" w:ascii="宋体" w:hAnsi="宋体" w:cs="宋体"/>
          <w:b/>
          <w:sz w:val="24"/>
          <w:lang w:val="zh-CN"/>
        </w:rPr>
        <w:t>六、工期要求：</w:t>
      </w:r>
      <w:r>
        <w:rPr>
          <w:rFonts w:hint="eastAsia" w:ascii="宋体" w:hAnsi="宋体" w:cs="宋体"/>
          <w:bCs/>
          <w:sz w:val="24"/>
          <w:u w:val="single"/>
          <w:lang w:val="zh-CN"/>
        </w:rPr>
        <w:t xml:space="preserve"> </w:t>
      </w:r>
      <w:r>
        <w:rPr>
          <w:rFonts w:hint="eastAsia" w:ascii="宋体" w:hAnsi="宋体" w:cs="宋体"/>
          <w:bCs/>
          <w:sz w:val="24"/>
          <w:u w:val="single"/>
          <w:lang w:val="en-US" w:eastAsia="zh-CN"/>
        </w:rPr>
        <w:t>60</w:t>
      </w:r>
      <w:r>
        <w:rPr>
          <w:rFonts w:hint="eastAsia" w:ascii="宋体" w:hAnsi="宋体" w:cs="宋体"/>
          <w:bCs/>
          <w:sz w:val="24"/>
          <w:lang w:val="zh-CN"/>
        </w:rPr>
        <w:t>天</w:t>
      </w:r>
    </w:p>
    <w:tbl>
      <w:tblPr>
        <w:tblStyle w:val="10"/>
        <w:tblpPr w:leftFromText="180" w:rightFromText="180" w:vertAnchor="text" w:horzAnchor="page" w:tblpX="837" w:tblpY="623"/>
        <w:tblOverlap w:val="never"/>
        <w:tblW w:w="10226" w:type="dxa"/>
        <w:tblInd w:w="0" w:type="dxa"/>
        <w:tblLayout w:type="fixed"/>
        <w:tblCellMar>
          <w:top w:w="0" w:type="dxa"/>
          <w:left w:w="108" w:type="dxa"/>
          <w:bottom w:w="0" w:type="dxa"/>
          <w:right w:w="108" w:type="dxa"/>
        </w:tblCellMar>
      </w:tblPr>
      <w:tblGrid>
        <w:gridCol w:w="1464"/>
        <w:gridCol w:w="763"/>
        <w:gridCol w:w="1018"/>
        <w:gridCol w:w="1018"/>
        <w:gridCol w:w="1152"/>
        <w:gridCol w:w="1068"/>
        <w:gridCol w:w="1068"/>
        <w:gridCol w:w="1072"/>
        <w:gridCol w:w="1603"/>
      </w:tblGrid>
      <w:tr w14:paraId="4C636AB3">
        <w:tblPrEx>
          <w:tblCellMar>
            <w:top w:w="0" w:type="dxa"/>
            <w:left w:w="108" w:type="dxa"/>
            <w:bottom w:w="0" w:type="dxa"/>
            <w:right w:w="108" w:type="dxa"/>
          </w:tblCellMar>
        </w:tblPrEx>
        <w:trPr>
          <w:trHeight w:val="445" w:hRule="atLeast"/>
        </w:trPr>
        <w:tc>
          <w:tcPr>
            <w:tcW w:w="1464" w:type="dxa"/>
            <w:tcBorders>
              <w:top w:val="single" w:color="auto" w:sz="4" w:space="0"/>
              <w:left w:val="single" w:color="auto" w:sz="4" w:space="0"/>
              <w:bottom w:val="single" w:color="auto" w:sz="4" w:space="0"/>
              <w:right w:val="single" w:color="auto" w:sz="4" w:space="0"/>
            </w:tcBorders>
            <w:vAlign w:val="center"/>
          </w:tcPr>
          <w:p w14:paraId="4F8596D3">
            <w:pPr>
              <w:widowControl/>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2799" w:type="dxa"/>
            <w:gridSpan w:val="3"/>
            <w:tcBorders>
              <w:top w:val="single" w:color="auto" w:sz="4" w:space="0"/>
              <w:left w:val="nil"/>
              <w:bottom w:val="single" w:color="auto" w:sz="4" w:space="0"/>
              <w:right w:val="single" w:color="auto" w:sz="4" w:space="0"/>
            </w:tcBorders>
            <w:vAlign w:val="center"/>
          </w:tcPr>
          <w:p w14:paraId="2320C997">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p>
        </w:tc>
        <w:tc>
          <w:tcPr>
            <w:tcW w:w="1152" w:type="dxa"/>
            <w:tcBorders>
              <w:top w:val="single" w:color="auto" w:sz="4" w:space="0"/>
              <w:left w:val="nil"/>
              <w:bottom w:val="single" w:color="auto" w:sz="4" w:space="0"/>
              <w:right w:val="single" w:color="auto" w:sz="4" w:space="0"/>
            </w:tcBorders>
            <w:vAlign w:val="center"/>
          </w:tcPr>
          <w:p w14:paraId="16FD47D5">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p>
        </w:tc>
        <w:tc>
          <w:tcPr>
            <w:tcW w:w="3208" w:type="dxa"/>
            <w:gridSpan w:val="3"/>
            <w:tcBorders>
              <w:top w:val="single" w:color="auto" w:sz="4" w:space="0"/>
              <w:left w:val="nil"/>
              <w:bottom w:val="single" w:color="auto" w:sz="4" w:space="0"/>
              <w:right w:val="single" w:color="auto" w:sz="4" w:space="0"/>
            </w:tcBorders>
            <w:vAlign w:val="center"/>
          </w:tcPr>
          <w:p w14:paraId="4037C7C6">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p>
        </w:tc>
        <w:tc>
          <w:tcPr>
            <w:tcW w:w="1603" w:type="dxa"/>
            <w:tcBorders>
              <w:top w:val="single" w:color="auto" w:sz="4" w:space="0"/>
              <w:left w:val="nil"/>
              <w:bottom w:val="single" w:color="auto" w:sz="4" w:space="0"/>
              <w:right w:val="single" w:color="auto" w:sz="4" w:space="0"/>
            </w:tcBorders>
            <w:vAlign w:val="center"/>
          </w:tcPr>
          <w:p w14:paraId="1878E6A5">
            <w:pPr>
              <w:widowControl/>
              <w:jc w:val="center"/>
              <w:rPr>
                <w:rFonts w:ascii="宋体" w:hAnsi="宋体" w:cs="宋体"/>
                <w:color w:val="000000"/>
                <w:kern w:val="0"/>
                <w:sz w:val="18"/>
                <w:szCs w:val="18"/>
              </w:rPr>
            </w:pPr>
            <w:r>
              <w:rPr>
                <w:rFonts w:hint="eastAsia" w:ascii="宋体" w:hAnsi="宋体" w:cs="宋体"/>
                <w:color w:val="000000"/>
                <w:kern w:val="0"/>
                <w:sz w:val="18"/>
                <w:szCs w:val="18"/>
              </w:rPr>
              <w:t>四</w:t>
            </w:r>
          </w:p>
        </w:tc>
      </w:tr>
      <w:tr w14:paraId="6CCD956F">
        <w:tblPrEx>
          <w:tblCellMar>
            <w:top w:w="0" w:type="dxa"/>
            <w:left w:w="108" w:type="dxa"/>
            <w:bottom w:w="0" w:type="dxa"/>
            <w:right w:w="108" w:type="dxa"/>
          </w:tblCellMar>
        </w:tblPrEx>
        <w:trPr>
          <w:trHeight w:val="445" w:hRule="atLeast"/>
        </w:trPr>
        <w:tc>
          <w:tcPr>
            <w:tcW w:w="1464" w:type="dxa"/>
            <w:vMerge w:val="restart"/>
            <w:tcBorders>
              <w:top w:val="nil"/>
              <w:left w:val="single" w:color="auto" w:sz="4" w:space="0"/>
              <w:bottom w:val="single" w:color="auto" w:sz="4" w:space="0"/>
              <w:right w:val="single" w:color="auto" w:sz="4" w:space="0"/>
            </w:tcBorders>
            <w:vAlign w:val="center"/>
          </w:tcPr>
          <w:p w14:paraId="2D195E8D">
            <w:pPr>
              <w:widowControl/>
              <w:jc w:val="center"/>
              <w:rPr>
                <w:rFonts w:ascii="宋体" w:hAnsi="宋体" w:cs="宋体"/>
                <w:color w:val="000000"/>
                <w:kern w:val="0"/>
                <w:sz w:val="18"/>
                <w:szCs w:val="18"/>
              </w:rPr>
            </w:pPr>
            <w:r>
              <w:rPr>
                <w:rFonts w:hint="eastAsia" w:ascii="宋体" w:hAnsi="宋体" w:cs="宋体"/>
                <w:color w:val="000000"/>
                <w:kern w:val="0"/>
                <w:sz w:val="18"/>
                <w:szCs w:val="18"/>
              </w:rPr>
              <w:t>费用名称</w:t>
            </w:r>
          </w:p>
        </w:tc>
        <w:tc>
          <w:tcPr>
            <w:tcW w:w="2799" w:type="dxa"/>
            <w:gridSpan w:val="3"/>
            <w:tcBorders>
              <w:top w:val="single" w:color="auto" w:sz="4" w:space="0"/>
              <w:left w:val="nil"/>
              <w:bottom w:val="single" w:color="auto" w:sz="4" w:space="0"/>
              <w:right w:val="single" w:color="auto" w:sz="4" w:space="0"/>
            </w:tcBorders>
            <w:vAlign w:val="center"/>
          </w:tcPr>
          <w:p w14:paraId="36F36A2C">
            <w:pPr>
              <w:widowControl/>
              <w:jc w:val="center"/>
              <w:rPr>
                <w:rFonts w:ascii="宋体" w:hAnsi="宋体" w:cs="宋体"/>
                <w:color w:val="000000"/>
                <w:kern w:val="0"/>
                <w:sz w:val="18"/>
                <w:szCs w:val="18"/>
              </w:rPr>
            </w:pPr>
            <w:r>
              <w:rPr>
                <w:rFonts w:hint="eastAsia" w:ascii="宋体" w:hAnsi="宋体" w:cs="宋体"/>
                <w:color w:val="000000"/>
                <w:kern w:val="0"/>
                <w:sz w:val="18"/>
                <w:szCs w:val="18"/>
              </w:rPr>
              <w:t>现场安全文明施工费</w:t>
            </w:r>
          </w:p>
        </w:tc>
        <w:tc>
          <w:tcPr>
            <w:tcW w:w="1152" w:type="dxa"/>
            <w:vMerge w:val="restart"/>
            <w:tcBorders>
              <w:top w:val="nil"/>
              <w:left w:val="single" w:color="auto" w:sz="4" w:space="0"/>
              <w:bottom w:val="single" w:color="000000" w:sz="4" w:space="0"/>
              <w:right w:val="single" w:color="auto" w:sz="4" w:space="0"/>
            </w:tcBorders>
            <w:vAlign w:val="center"/>
          </w:tcPr>
          <w:p w14:paraId="7C822BE9">
            <w:pPr>
              <w:widowControl/>
              <w:jc w:val="center"/>
              <w:rPr>
                <w:rFonts w:ascii="宋体" w:hAnsi="宋体" w:cs="宋体"/>
                <w:color w:val="000000"/>
                <w:kern w:val="0"/>
                <w:sz w:val="18"/>
                <w:szCs w:val="18"/>
              </w:rPr>
            </w:pPr>
            <w:r>
              <w:rPr>
                <w:rFonts w:hint="eastAsia" w:ascii="宋体" w:hAnsi="宋体" w:cs="宋体"/>
                <w:color w:val="000000"/>
                <w:kern w:val="0"/>
                <w:sz w:val="18"/>
                <w:szCs w:val="18"/>
              </w:rPr>
              <w:t>按质论价费</w:t>
            </w:r>
          </w:p>
          <w:p w14:paraId="4FB6FAC1">
            <w:pPr>
              <w:widowControl/>
              <w:jc w:val="center"/>
              <w:rPr>
                <w:rFonts w:ascii="宋体" w:hAnsi="宋体" w:cs="宋体"/>
                <w:color w:val="000000"/>
                <w:kern w:val="0"/>
                <w:sz w:val="18"/>
                <w:szCs w:val="18"/>
              </w:rPr>
            </w:pPr>
          </w:p>
        </w:tc>
        <w:tc>
          <w:tcPr>
            <w:tcW w:w="3208" w:type="dxa"/>
            <w:gridSpan w:val="3"/>
            <w:tcBorders>
              <w:top w:val="single" w:color="auto" w:sz="4" w:space="0"/>
              <w:left w:val="nil"/>
              <w:bottom w:val="single" w:color="auto" w:sz="4" w:space="0"/>
              <w:right w:val="single" w:color="auto" w:sz="4" w:space="0"/>
            </w:tcBorders>
            <w:vAlign w:val="center"/>
          </w:tcPr>
          <w:p w14:paraId="3F91E79D">
            <w:pPr>
              <w:widowControl/>
              <w:jc w:val="center"/>
              <w:rPr>
                <w:rFonts w:ascii="宋体" w:hAnsi="宋体" w:cs="宋体"/>
                <w:color w:val="000000"/>
                <w:kern w:val="0"/>
                <w:sz w:val="18"/>
                <w:szCs w:val="18"/>
              </w:rPr>
            </w:pPr>
            <w:r>
              <w:rPr>
                <w:rFonts w:hint="eastAsia" w:ascii="宋体" w:hAnsi="宋体" w:cs="宋体"/>
                <w:color w:val="000000"/>
                <w:kern w:val="0"/>
                <w:sz w:val="18"/>
                <w:szCs w:val="18"/>
              </w:rPr>
              <w:t>规费</w:t>
            </w:r>
          </w:p>
        </w:tc>
        <w:tc>
          <w:tcPr>
            <w:tcW w:w="1603" w:type="dxa"/>
            <w:vMerge w:val="restart"/>
            <w:tcBorders>
              <w:top w:val="nil"/>
              <w:left w:val="single" w:color="auto" w:sz="4" w:space="0"/>
              <w:bottom w:val="single" w:color="auto" w:sz="4" w:space="0"/>
              <w:right w:val="single" w:color="auto" w:sz="4" w:space="0"/>
            </w:tcBorders>
            <w:vAlign w:val="center"/>
          </w:tcPr>
          <w:p w14:paraId="10C64B3E">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w:t>
            </w:r>
          </w:p>
        </w:tc>
      </w:tr>
      <w:tr w14:paraId="30F3C91C">
        <w:tblPrEx>
          <w:tblCellMar>
            <w:top w:w="0" w:type="dxa"/>
            <w:left w:w="108" w:type="dxa"/>
            <w:bottom w:w="0" w:type="dxa"/>
            <w:right w:w="108" w:type="dxa"/>
          </w:tblCellMar>
        </w:tblPrEx>
        <w:trPr>
          <w:trHeight w:val="917" w:hRule="atLeast"/>
        </w:trPr>
        <w:tc>
          <w:tcPr>
            <w:tcW w:w="1464" w:type="dxa"/>
            <w:vMerge w:val="continue"/>
            <w:tcBorders>
              <w:top w:val="nil"/>
              <w:left w:val="single" w:color="auto" w:sz="4" w:space="0"/>
              <w:bottom w:val="single" w:color="auto" w:sz="4" w:space="0"/>
              <w:right w:val="single" w:color="auto" w:sz="4" w:space="0"/>
            </w:tcBorders>
            <w:vAlign w:val="center"/>
          </w:tcPr>
          <w:p w14:paraId="07104917">
            <w:pPr>
              <w:widowControl/>
              <w:jc w:val="left"/>
              <w:rPr>
                <w:rFonts w:ascii="宋体" w:hAnsi="宋体" w:cs="宋体"/>
                <w:color w:val="000000"/>
                <w:kern w:val="0"/>
                <w:sz w:val="18"/>
                <w:szCs w:val="18"/>
              </w:rPr>
            </w:pPr>
          </w:p>
        </w:tc>
        <w:tc>
          <w:tcPr>
            <w:tcW w:w="763" w:type="dxa"/>
            <w:tcBorders>
              <w:top w:val="nil"/>
              <w:left w:val="nil"/>
              <w:bottom w:val="single" w:color="auto" w:sz="4" w:space="0"/>
              <w:right w:val="single" w:color="auto" w:sz="4" w:space="0"/>
            </w:tcBorders>
            <w:vAlign w:val="center"/>
          </w:tcPr>
          <w:p w14:paraId="14C49768">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基本费</w:t>
            </w:r>
          </w:p>
        </w:tc>
        <w:tc>
          <w:tcPr>
            <w:tcW w:w="1018" w:type="dxa"/>
            <w:tcBorders>
              <w:top w:val="nil"/>
              <w:left w:val="nil"/>
              <w:bottom w:val="single" w:color="auto" w:sz="4" w:space="0"/>
              <w:right w:val="single" w:color="auto" w:sz="4" w:space="0"/>
            </w:tcBorders>
            <w:vAlign w:val="center"/>
          </w:tcPr>
          <w:p w14:paraId="30C0C4D8">
            <w:pPr>
              <w:widowControl/>
              <w:jc w:val="center"/>
              <w:rPr>
                <w:rFonts w:ascii="宋体" w:hAnsi="宋体" w:cs="宋体"/>
                <w:color w:val="000000"/>
                <w:kern w:val="0"/>
                <w:sz w:val="18"/>
                <w:szCs w:val="18"/>
              </w:rPr>
            </w:pPr>
            <w:r>
              <w:rPr>
                <w:rFonts w:hint="eastAsia" w:ascii="宋体" w:hAnsi="宋体" w:cs="宋体"/>
                <w:color w:val="000000"/>
                <w:kern w:val="0"/>
                <w:sz w:val="18"/>
                <w:szCs w:val="18"/>
              </w:rPr>
              <w:t>省级标化增加费:一星级</w:t>
            </w:r>
          </w:p>
        </w:tc>
        <w:tc>
          <w:tcPr>
            <w:tcW w:w="1018" w:type="dxa"/>
            <w:tcBorders>
              <w:top w:val="nil"/>
              <w:left w:val="nil"/>
              <w:bottom w:val="single" w:color="auto" w:sz="4" w:space="0"/>
              <w:right w:val="single" w:color="auto" w:sz="4" w:space="0"/>
            </w:tcBorders>
            <w:vAlign w:val="center"/>
          </w:tcPr>
          <w:p w14:paraId="18A3C95C">
            <w:pPr>
              <w:widowControl/>
              <w:jc w:val="center"/>
              <w:rPr>
                <w:rFonts w:ascii="宋体" w:hAnsi="宋体" w:cs="宋体"/>
                <w:color w:val="000000"/>
                <w:kern w:val="0"/>
                <w:sz w:val="18"/>
                <w:szCs w:val="18"/>
              </w:rPr>
            </w:pPr>
            <w:r>
              <w:rPr>
                <w:rFonts w:hint="eastAsia" w:ascii="宋体" w:hAnsi="宋体" w:cs="宋体"/>
                <w:color w:val="000000"/>
                <w:kern w:val="0"/>
                <w:sz w:val="18"/>
                <w:szCs w:val="18"/>
              </w:rPr>
              <w:t>扬尘污染防治增加费</w:t>
            </w:r>
          </w:p>
        </w:tc>
        <w:tc>
          <w:tcPr>
            <w:tcW w:w="1152" w:type="dxa"/>
            <w:vMerge w:val="continue"/>
            <w:tcBorders>
              <w:top w:val="nil"/>
              <w:left w:val="single" w:color="auto" w:sz="4" w:space="0"/>
              <w:bottom w:val="single" w:color="000000" w:sz="4" w:space="0"/>
              <w:right w:val="single" w:color="auto" w:sz="4" w:space="0"/>
            </w:tcBorders>
            <w:vAlign w:val="center"/>
          </w:tcPr>
          <w:p w14:paraId="7E1BA839">
            <w:pPr>
              <w:widowControl/>
              <w:jc w:val="left"/>
              <w:rPr>
                <w:rFonts w:ascii="宋体" w:hAnsi="宋体" w:cs="宋体"/>
                <w:color w:val="000000"/>
                <w:kern w:val="0"/>
                <w:sz w:val="18"/>
                <w:szCs w:val="18"/>
              </w:rPr>
            </w:pPr>
          </w:p>
        </w:tc>
        <w:tc>
          <w:tcPr>
            <w:tcW w:w="1068" w:type="dxa"/>
            <w:tcBorders>
              <w:top w:val="nil"/>
              <w:left w:val="nil"/>
              <w:bottom w:val="single" w:color="auto" w:sz="4" w:space="0"/>
              <w:right w:val="single" w:color="auto" w:sz="4" w:space="0"/>
            </w:tcBorders>
            <w:vAlign w:val="center"/>
          </w:tcPr>
          <w:p w14:paraId="5C0F946E">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社会保险费</w:t>
            </w:r>
          </w:p>
        </w:tc>
        <w:tc>
          <w:tcPr>
            <w:tcW w:w="1068" w:type="dxa"/>
            <w:tcBorders>
              <w:top w:val="nil"/>
              <w:left w:val="nil"/>
              <w:bottom w:val="single" w:color="auto" w:sz="4" w:space="0"/>
              <w:right w:val="single" w:color="auto" w:sz="4" w:space="0"/>
            </w:tcBorders>
            <w:vAlign w:val="center"/>
          </w:tcPr>
          <w:p w14:paraId="60A63556">
            <w:pPr>
              <w:widowControl/>
              <w:jc w:val="center"/>
              <w:rPr>
                <w:rFonts w:ascii="宋体" w:hAnsi="宋体" w:cs="宋体"/>
                <w:color w:val="000000"/>
                <w:kern w:val="0"/>
                <w:sz w:val="18"/>
                <w:szCs w:val="18"/>
              </w:rPr>
            </w:pPr>
            <w:r>
              <w:rPr>
                <w:rFonts w:hint="eastAsia" w:ascii="宋体" w:hAnsi="宋体" w:cs="宋体"/>
                <w:color w:val="000000"/>
                <w:kern w:val="0"/>
                <w:sz w:val="18"/>
                <w:szCs w:val="18"/>
              </w:rPr>
              <w:t>住房公积金</w:t>
            </w:r>
          </w:p>
        </w:tc>
        <w:tc>
          <w:tcPr>
            <w:tcW w:w="1072" w:type="dxa"/>
            <w:tcBorders>
              <w:top w:val="nil"/>
              <w:left w:val="nil"/>
              <w:bottom w:val="single" w:color="auto" w:sz="4" w:space="0"/>
              <w:right w:val="single" w:color="auto" w:sz="4" w:space="0"/>
            </w:tcBorders>
            <w:vAlign w:val="center"/>
          </w:tcPr>
          <w:p w14:paraId="3EC3A2AC">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环境保护税</w:t>
            </w:r>
          </w:p>
        </w:tc>
        <w:tc>
          <w:tcPr>
            <w:tcW w:w="1603" w:type="dxa"/>
            <w:vMerge w:val="continue"/>
            <w:tcBorders>
              <w:top w:val="nil"/>
              <w:left w:val="single" w:color="auto" w:sz="4" w:space="0"/>
              <w:bottom w:val="single" w:color="auto" w:sz="4" w:space="0"/>
              <w:right w:val="single" w:color="auto" w:sz="4" w:space="0"/>
            </w:tcBorders>
            <w:vAlign w:val="center"/>
          </w:tcPr>
          <w:p w14:paraId="04798D5E">
            <w:pPr>
              <w:widowControl/>
              <w:jc w:val="left"/>
              <w:rPr>
                <w:rFonts w:ascii="宋体" w:hAnsi="宋体" w:cs="宋体"/>
                <w:color w:val="000000"/>
                <w:kern w:val="0"/>
                <w:sz w:val="18"/>
                <w:szCs w:val="18"/>
              </w:rPr>
            </w:pPr>
          </w:p>
        </w:tc>
      </w:tr>
      <w:tr w14:paraId="3487BFA1">
        <w:tblPrEx>
          <w:tblCellMar>
            <w:top w:w="0" w:type="dxa"/>
            <w:left w:w="108" w:type="dxa"/>
            <w:bottom w:w="0" w:type="dxa"/>
            <w:right w:w="108" w:type="dxa"/>
          </w:tblCellMar>
        </w:tblPrEx>
        <w:trPr>
          <w:trHeight w:val="1522" w:hRule="atLeast"/>
        </w:trPr>
        <w:tc>
          <w:tcPr>
            <w:tcW w:w="1464" w:type="dxa"/>
            <w:tcBorders>
              <w:top w:val="nil"/>
              <w:left w:val="single" w:color="auto" w:sz="4" w:space="0"/>
              <w:bottom w:val="single" w:color="auto" w:sz="4" w:space="0"/>
              <w:right w:val="single" w:color="auto" w:sz="4" w:space="0"/>
            </w:tcBorders>
            <w:vAlign w:val="center"/>
          </w:tcPr>
          <w:p w14:paraId="108DB665">
            <w:pPr>
              <w:widowControl/>
              <w:jc w:val="center"/>
              <w:rPr>
                <w:rFonts w:ascii="宋体" w:hAnsi="宋体" w:cs="宋体"/>
                <w:color w:val="000000"/>
                <w:kern w:val="0"/>
                <w:sz w:val="18"/>
                <w:szCs w:val="18"/>
              </w:rPr>
            </w:pPr>
            <w:r>
              <w:rPr>
                <w:rFonts w:hint="eastAsia" w:ascii="宋体" w:hAnsi="宋体" w:cs="宋体"/>
                <w:color w:val="000000"/>
                <w:kern w:val="0"/>
                <w:sz w:val="18"/>
                <w:szCs w:val="18"/>
              </w:rPr>
              <w:t>计算基础</w:t>
            </w:r>
          </w:p>
        </w:tc>
        <w:tc>
          <w:tcPr>
            <w:tcW w:w="2799" w:type="dxa"/>
            <w:gridSpan w:val="3"/>
            <w:tcBorders>
              <w:top w:val="single" w:color="auto" w:sz="4" w:space="0"/>
              <w:left w:val="nil"/>
              <w:bottom w:val="single" w:color="auto" w:sz="4" w:space="0"/>
              <w:right w:val="single" w:color="auto" w:sz="4" w:space="0"/>
            </w:tcBorders>
            <w:vAlign w:val="center"/>
          </w:tcPr>
          <w:p w14:paraId="766EAD15">
            <w:pPr>
              <w:widowControl/>
              <w:jc w:val="center"/>
              <w:rPr>
                <w:rFonts w:ascii="宋体" w:hAnsi="宋体" w:cs="宋体"/>
                <w:kern w:val="0"/>
                <w:sz w:val="18"/>
                <w:szCs w:val="18"/>
              </w:rPr>
            </w:pPr>
            <w:r>
              <w:rPr>
                <w:rFonts w:hint="eastAsia" w:ascii="宋体" w:hAnsi="宋体" w:cs="宋体"/>
                <w:kern w:val="0"/>
                <w:sz w:val="18"/>
                <w:szCs w:val="18"/>
              </w:rPr>
              <w:t>分部分项工程+单价措施项目费-除税工程设备费</w:t>
            </w:r>
          </w:p>
        </w:tc>
        <w:tc>
          <w:tcPr>
            <w:tcW w:w="1152" w:type="dxa"/>
            <w:tcBorders>
              <w:top w:val="nil"/>
              <w:left w:val="nil"/>
              <w:bottom w:val="single" w:color="auto" w:sz="4" w:space="0"/>
              <w:right w:val="single" w:color="auto" w:sz="4" w:space="0"/>
            </w:tcBorders>
            <w:vAlign w:val="center"/>
          </w:tcPr>
          <w:p w14:paraId="471550C9">
            <w:pPr>
              <w:widowControl/>
              <w:jc w:val="center"/>
              <w:rPr>
                <w:rFonts w:ascii="宋体" w:hAnsi="宋体" w:cs="宋体"/>
                <w:kern w:val="0"/>
                <w:sz w:val="18"/>
                <w:szCs w:val="18"/>
              </w:rPr>
            </w:pPr>
            <w:r>
              <w:rPr>
                <w:rFonts w:hint="eastAsia" w:ascii="宋体" w:hAnsi="宋体" w:cs="宋体"/>
                <w:kern w:val="0"/>
                <w:sz w:val="18"/>
                <w:szCs w:val="18"/>
              </w:rPr>
              <w:t>分部分项工程+单价措施项目费-除税工程设备费</w:t>
            </w:r>
          </w:p>
        </w:tc>
        <w:tc>
          <w:tcPr>
            <w:tcW w:w="3208" w:type="dxa"/>
            <w:gridSpan w:val="3"/>
            <w:tcBorders>
              <w:top w:val="single" w:color="auto" w:sz="4" w:space="0"/>
              <w:left w:val="nil"/>
              <w:bottom w:val="single" w:color="auto" w:sz="4" w:space="0"/>
              <w:right w:val="single" w:color="auto" w:sz="4" w:space="0"/>
            </w:tcBorders>
            <w:vAlign w:val="center"/>
          </w:tcPr>
          <w:p w14:paraId="32A0CB00">
            <w:pPr>
              <w:widowControl/>
              <w:jc w:val="center"/>
              <w:rPr>
                <w:rFonts w:ascii="宋体" w:hAnsi="宋体" w:cs="宋体"/>
                <w:kern w:val="0"/>
                <w:sz w:val="18"/>
                <w:szCs w:val="18"/>
              </w:rPr>
            </w:pPr>
            <w:r>
              <w:rPr>
                <w:rFonts w:hint="eastAsia" w:ascii="宋体" w:hAnsi="宋体" w:cs="宋体"/>
                <w:kern w:val="0"/>
                <w:sz w:val="18"/>
                <w:szCs w:val="18"/>
              </w:rPr>
              <w:t>分部分项工程费+措施项目费+其他项目费-除税工程设备费</w:t>
            </w:r>
          </w:p>
        </w:tc>
        <w:tc>
          <w:tcPr>
            <w:tcW w:w="1603" w:type="dxa"/>
            <w:tcBorders>
              <w:top w:val="nil"/>
              <w:left w:val="nil"/>
              <w:bottom w:val="single" w:color="auto" w:sz="4" w:space="0"/>
              <w:right w:val="single" w:color="auto" w:sz="4" w:space="0"/>
            </w:tcBorders>
            <w:vAlign w:val="center"/>
          </w:tcPr>
          <w:p w14:paraId="4070B9BC">
            <w:pPr>
              <w:widowControl/>
              <w:jc w:val="center"/>
              <w:rPr>
                <w:rFonts w:ascii="宋体" w:hAnsi="宋体" w:cs="宋体"/>
                <w:color w:val="000000"/>
                <w:kern w:val="0"/>
                <w:sz w:val="18"/>
                <w:szCs w:val="18"/>
              </w:rPr>
            </w:pPr>
            <w:r>
              <w:rPr>
                <w:rFonts w:hint="eastAsia" w:ascii="宋体" w:hAnsi="宋体" w:cs="宋体"/>
                <w:color w:val="000000"/>
                <w:kern w:val="0"/>
                <w:sz w:val="18"/>
                <w:szCs w:val="18"/>
              </w:rPr>
              <w:t>分部分项工程费+措施项目费+其他项目费+规费-除税甲供材和甲供设备费/1.01</w:t>
            </w:r>
          </w:p>
        </w:tc>
      </w:tr>
      <w:tr w14:paraId="1D45DC4A">
        <w:tblPrEx>
          <w:tblCellMar>
            <w:top w:w="0" w:type="dxa"/>
            <w:left w:w="108" w:type="dxa"/>
            <w:bottom w:w="0" w:type="dxa"/>
            <w:right w:w="108" w:type="dxa"/>
          </w:tblCellMar>
        </w:tblPrEx>
        <w:trPr>
          <w:trHeight w:val="615" w:hRule="atLeast"/>
        </w:trPr>
        <w:tc>
          <w:tcPr>
            <w:tcW w:w="1464" w:type="dxa"/>
            <w:tcBorders>
              <w:top w:val="single" w:color="auto" w:sz="4" w:space="0"/>
              <w:left w:val="single" w:color="auto" w:sz="4" w:space="0"/>
              <w:bottom w:val="single" w:color="auto" w:sz="4" w:space="0"/>
              <w:right w:val="single" w:color="auto" w:sz="4" w:space="0"/>
            </w:tcBorders>
            <w:vAlign w:val="center"/>
          </w:tcPr>
          <w:p w14:paraId="17C360EF">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土建修缮工程</w:t>
            </w:r>
          </w:p>
        </w:tc>
        <w:tc>
          <w:tcPr>
            <w:tcW w:w="763" w:type="dxa"/>
            <w:tcBorders>
              <w:top w:val="single" w:color="auto" w:sz="4" w:space="0"/>
              <w:left w:val="single" w:color="auto" w:sz="4" w:space="0"/>
              <w:bottom w:val="single" w:color="auto" w:sz="4" w:space="0"/>
              <w:right w:val="single" w:color="auto" w:sz="4" w:space="0"/>
            </w:tcBorders>
            <w:vAlign w:val="center"/>
          </w:tcPr>
          <w:p w14:paraId="334F0F17">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018" w:type="dxa"/>
            <w:tcBorders>
              <w:top w:val="single" w:color="auto" w:sz="4" w:space="0"/>
              <w:left w:val="single" w:color="auto" w:sz="4" w:space="0"/>
              <w:bottom w:val="single" w:color="auto" w:sz="4" w:space="0"/>
              <w:right w:val="single" w:color="auto" w:sz="4" w:space="0"/>
            </w:tcBorders>
            <w:vAlign w:val="center"/>
          </w:tcPr>
          <w:p w14:paraId="48C2BBBD">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w:t>
            </w:r>
          </w:p>
        </w:tc>
        <w:tc>
          <w:tcPr>
            <w:tcW w:w="1018" w:type="dxa"/>
            <w:tcBorders>
              <w:top w:val="single" w:color="auto" w:sz="4" w:space="0"/>
              <w:left w:val="single" w:color="auto" w:sz="4" w:space="0"/>
              <w:bottom w:val="single" w:color="auto" w:sz="4" w:space="0"/>
              <w:right w:val="single" w:color="auto" w:sz="4" w:space="0"/>
            </w:tcBorders>
            <w:vAlign w:val="center"/>
          </w:tcPr>
          <w:p w14:paraId="6CBDB2C3">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0.21%</w:t>
            </w:r>
          </w:p>
        </w:tc>
        <w:tc>
          <w:tcPr>
            <w:tcW w:w="1152" w:type="dxa"/>
            <w:tcBorders>
              <w:top w:val="single" w:color="auto" w:sz="4" w:space="0"/>
              <w:left w:val="single" w:color="auto" w:sz="4" w:space="0"/>
              <w:bottom w:val="single" w:color="auto" w:sz="4" w:space="0"/>
              <w:right w:val="single" w:color="auto" w:sz="4" w:space="0"/>
            </w:tcBorders>
            <w:vAlign w:val="center"/>
          </w:tcPr>
          <w:p w14:paraId="37CEB094">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1068" w:type="dxa"/>
            <w:tcBorders>
              <w:top w:val="single" w:color="auto" w:sz="4" w:space="0"/>
              <w:left w:val="single" w:color="auto" w:sz="4" w:space="0"/>
              <w:bottom w:val="single" w:color="auto" w:sz="4" w:space="0"/>
              <w:right w:val="single" w:color="auto" w:sz="4" w:space="0"/>
            </w:tcBorders>
            <w:vAlign w:val="center"/>
          </w:tcPr>
          <w:p w14:paraId="2ACBF945">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3.8%</w:t>
            </w:r>
          </w:p>
        </w:tc>
        <w:tc>
          <w:tcPr>
            <w:tcW w:w="1068" w:type="dxa"/>
            <w:tcBorders>
              <w:top w:val="single" w:color="auto" w:sz="4" w:space="0"/>
              <w:left w:val="single" w:color="auto" w:sz="4" w:space="0"/>
              <w:bottom w:val="single" w:color="auto" w:sz="4" w:space="0"/>
              <w:right w:val="single" w:color="auto" w:sz="4" w:space="0"/>
            </w:tcBorders>
            <w:vAlign w:val="center"/>
          </w:tcPr>
          <w:p w14:paraId="72C06EB3">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0.67%</w:t>
            </w:r>
          </w:p>
        </w:tc>
        <w:tc>
          <w:tcPr>
            <w:tcW w:w="1072" w:type="dxa"/>
            <w:tcBorders>
              <w:top w:val="single" w:color="auto" w:sz="4" w:space="0"/>
              <w:left w:val="single" w:color="auto" w:sz="4" w:space="0"/>
              <w:bottom w:val="single" w:color="auto" w:sz="4" w:space="0"/>
              <w:right w:val="single" w:color="auto" w:sz="4" w:space="0"/>
            </w:tcBorders>
            <w:vAlign w:val="center"/>
          </w:tcPr>
          <w:p w14:paraId="5C11DE85">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w:t>
            </w:r>
          </w:p>
        </w:tc>
        <w:tc>
          <w:tcPr>
            <w:tcW w:w="1603" w:type="dxa"/>
            <w:tcBorders>
              <w:top w:val="single" w:color="auto" w:sz="4" w:space="0"/>
              <w:left w:val="single" w:color="auto" w:sz="4" w:space="0"/>
              <w:bottom w:val="single" w:color="auto" w:sz="4" w:space="0"/>
              <w:right w:val="single" w:color="auto" w:sz="4" w:space="0"/>
            </w:tcBorders>
            <w:vAlign w:val="center"/>
          </w:tcPr>
          <w:p w14:paraId="075FE503">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w:t>
            </w:r>
          </w:p>
        </w:tc>
      </w:tr>
      <w:tr w14:paraId="1E48B643">
        <w:tblPrEx>
          <w:tblCellMar>
            <w:top w:w="0" w:type="dxa"/>
            <w:left w:w="108" w:type="dxa"/>
            <w:bottom w:w="0" w:type="dxa"/>
            <w:right w:w="108" w:type="dxa"/>
          </w:tblCellMar>
        </w:tblPrEx>
        <w:trPr>
          <w:trHeight w:val="615" w:hRule="atLeast"/>
        </w:trPr>
        <w:tc>
          <w:tcPr>
            <w:tcW w:w="1464" w:type="dxa"/>
            <w:tcBorders>
              <w:top w:val="single" w:color="auto" w:sz="4" w:space="0"/>
              <w:left w:val="single" w:color="auto" w:sz="4" w:space="0"/>
              <w:bottom w:val="single" w:color="auto" w:sz="4" w:space="0"/>
              <w:right w:val="single" w:color="auto" w:sz="4" w:space="0"/>
            </w:tcBorders>
            <w:vAlign w:val="center"/>
          </w:tcPr>
          <w:p w14:paraId="140BC410">
            <w:pPr>
              <w:widowControl/>
              <w:jc w:val="center"/>
              <w:rPr>
                <w:rFonts w:ascii="宋体" w:hAnsi="宋体" w:cs="宋体"/>
                <w:kern w:val="0"/>
                <w:sz w:val="18"/>
                <w:szCs w:val="18"/>
              </w:rPr>
            </w:pPr>
            <w:r>
              <w:rPr>
                <w:rFonts w:hint="eastAsia" w:ascii="宋体" w:hAnsi="宋体" w:cs="宋体"/>
                <w:kern w:val="0"/>
                <w:sz w:val="18"/>
                <w:szCs w:val="18"/>
              </w:rPr>
              <w:t>安装工程</w:t>
            </w:r>
          </w:p>
        </w:tc>
        <w:tc>
          <w:tcPr>
            <w:tcW w:w="763" w:type="dxa"/>
            <w:tcBorders>
              <w:top w:val="single" w:color="auto" w:sz="4" w:space="0"/>
              <w:left w:val="single" w:color="auto" w:sz="4" w:space="0"/>
              <w:bottom w:val="single" w:color="auto" w:sz="4" w:space="0"/>
              <w:right w:val="single" w:color="auto" w:sz="4" w:space="0"/>
            </w:tcBorders>
            <w:vAlign w:val="center"/>
          </w:tcPr>
          <w:p w14:paraId="7AF0A5F2">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18" w:type="dxa"/>
            <w:tcBorders>
              <w:top w:val="single" w:color="auto" w:sz="4" w:space="0"/>
              <w:left w:val="single" w:color="auto" w:sz="4" w:space="0"/>
              <w:bottom w:val="single" w:color="auto" w:sz="4" w:space="0"/>
              <w:right w:val="single" w:color="auto" w:sz="4" w:space="0"/>
            </w:tcBorders>
            <w:vAlign w:val="center"/>
          </w:tcPr>
          <w:p w14:paraId="11EFD482">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1018" w:type="dxa"/>
            <w:tcBorders>
              <w:top w:val="single" w:color="auto" w:sz="4" w:space="0"/>
              <w:left w:val="single" w:color="auto" w:sz="4" w:space="0"/>
              <w:bottom w:val="single" w:color="auto" w:sz="4" w:space="0"/>
              <w:right w:val="single" w:color="auto" w:sz="4" w:space="0"/>
            </w:tcBorders>
            <w:vAlign w:val="center"/>
          </w:tcPr>
          <w:p w14:paraId="288EB60F">
            <w:pPr>
              <w:widowControl/>
              <w:jc w:val="center"/>
              <w:rPr>
                <w:rFonts w:ascii="宋体" w:hAnsi="宋体" w:cs="宋体"/>
                <w:color w:val="000000"/>
                <w:kern w:val="0"/>
                <w:sz w:val="18"/>
                <w:szCs w:val="18"/>
              </w:rPr>
            </w:pPr>
            <w:r>
              <w:rPr>
                <w:rFonts w:hint="eastAsia" w:ascii="宋体" w:hAnsi="宋体" w:cs="宋体"/>
                <w:color w:val="000000"/>
                <w:kern w:val="0"/>
                <w:sz w:val="18"/>
                <w:szCs w:val="18"/>
              </w:rPr>
              <w:t>0.21%</w:t>
            </w:r>
          </w:p>
        </w:tc>
        <w:tc>
          <w:tcPr>
            <w:tcW w:w="1152" w:type="dxa"/>
            <w:tcBorders>
              <w:top w:val="single" w:color="auto" w:sz="4" w:space="0"/>
              <w:left w:val="single" w:color="auto" w:sz="4" w:space="0"/>
              <w:bottom w:val="single" w:color="auto" w:sz="4" w:space="0"/>
              <w:right w:val="single" w:color="auto" w:sz="4" w:space="0"/>
            </w:tcBorders>
            <w:vAlign w:val="center"/>
          </w:tcPr>
          <w:p w14:paraId="6664ED4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68" w:type="dxa"/>
            <w:tcBorders>
              <w:top w:val="single" w:color="auto" w:sz="4" w:space="0"/>
              <w:left w:val="single" w:color="auto" w:sz="4" w:space="0"/>
              <w:bottom w:val="single" w:color="auto" w:sz="4" w:space="0"/>
              <w:right w:val="single" w:color="auto" w:sz="4" w:space="0"/>
            </w:tcBorders>
            <w:vAlign w:val="center"/>
          </w:tcPr>
          <w:p w14:paraId="2BD23B71">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w:t>
            </w:r>
            <w:r>
              <w:rPr>
                <w:rFonts w:hint="eastAsia" w:ascii="宋体" w:hAnsi="宋体" w:cs="宋体"/>
                <w:color w:val="000000"/>
                <w:kern w:val="0"/>
                <w:sz w:val="18"/>
                <w:szCs w:val="18"/>
              </w:rPr>
              <w:t>4</w:t>
            </w:r>
            <w:r>
              <w:rPr>
                <w:rFonts w:hint="eastAsia" w:ascii="宋体" w:hAnsi="宋体" w:cs="宋体"/>
                <w:color w:val="000000"/>
                <w:kern w:val="0"/>
                <w:sz w:val="18"/>
                <w:szCs w:val="18"/>
                <w:lang w:val="en-US" w:eastAsia="zh-CN"/>
              </w:rPr>
              <w:t>%</w:t>
            </w:r>
          </w:p>
        </w:tc>
        <w:tc>
          <w:tcPr>
            <w:tcW w:w="1068" w:type="dxa"/>
            <w:tcBorders>
              <w:top w:val="single" w:color="auto" w:sz="4" w:space="0"/>
              <w:left w:val="single" w:color="auto" w:sz="4" w:space="0"/>
              <w:bottom w:val="single" w:color="auto" w:sz="4" w:space="0"/>
              <w:right w:val="single" w:color="auto" w:sz="4" w:space="0"/>
            </w:tcBorders>
            <w:vAlign w:val="center"/>
          </w:tcPr>
          <w:p w14:paraId="7990070F">
            <w:pPr>
              <w:widowControl/>
              <w:jc w:val="center"/>
              <w:rPr>
                <w:rFonts w:ascii="宋体" w:hAnsi="宋体" w:cs="宋体"/>
                <w:color w:val="000000"/>
                <w:kern w:val="0"/>
                <w:sz w:val="18"/>
                <w:szCs w:val="18"/>
              </w:rPr>
            </w:pPr>
            <w:r>
              <w:rPr>
                <w:rFonts w:hint="eastAsia" w:ascii="宋体" w:hAnsi="宋体" w:cs="宋体"/>
                <w:color w:val="000000"/>
                <w:kern w:val="0"/>
                <w:sz w:val="18"/>
                <w:szCs w:val="18"/>
              </w:rPr>
              <w:t>0.42%</w:t>
            </w:r>
          </w:p>
        </w:tc>
        <w:tc>
          <w:tcPr>
            <w:tcW w:w="1072" w:type="dxa"/>
            <w:tcBorders>
              <w:top w:val="single" w:color="auto" w:sz="4" w:space="0"/>
              <w:left w:val="single" w:color="auto" w:sz="4" w:space="0"/>
              <w:bottom w:val="single" w:color="auto" w:sz="4" w:space="0"/>
              <w:right w:val="single" w:color="auto" w:sz="4" w:space="0"/>
            </w:tcBorders>
            <w:vAlign w:val="center"/>
          </w:tcPr>
          <w:p w14:paraId="106BC0F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03" w:type="dxa"/>
            <w:tcBorders>
              <w:top w:val="single" w:color="auto" w:sz="4" w:space="0"/>
              <w:left w:val="single" w:color="auto" w:sz="4" w:space="0"/>
              <w:bottom w:val="single" w:color="auto" w:sz="4" w:space="0"/>
              <w:right w:val="single" w:color="auto" w:sz="4" w:space="0"/>
            </w:tcBorders>
            <w:vAlign w:val="center"/>
          </w:tcPr>
          <w:p w14:paraId="243AC72F">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r>
    </w:tbl>
    <w:p w14:paraId="6ACCC60C">
      <w:pPr>
        <w:snapToGrid w:val="0"/>
        <w:spacing w:line="440" w:lineRule="atLeast"/>
        <w:rPr>
          <w:rFonts w:ascii="宋体" w:hAnsi="宋体" w:cs="宋体"/>
          <w:b/>
          <w:sz w:val="24"/>
          <w:lang w:val="zh-CN"/>
        </w:rPr>
      </w:pPr>
      <w:r>
        <w:rPr>
          <w:rFonts w:hint="eastAsia" w:ascii="宋体" w:hAnsi="宋体" w:cs="宋体"/>
          <w:b/>
          <w:sz w:val="24"/>
          <w:lang w:val="zh-CN"/>
        </w:rPr>
        <w:t>七、不可竞争费：现场安全文明施工费、规费、税金为不可竞争费，取费标准如下表：</w:t>
      </w:r>
    </w:p>
    <w:p w14:paraId="4CEA33FF">
      <w:pPr>
        <w:autoSpaceDE w:val="0"/>
        <w:autoSpaceDN w:val="0"/>
        <w:adjustRightInd w:val="0"/>
        <w:snapToGrid w:val="0"/>
        <w:spacing w:line="440" w:lineRule="atLeast"/>
        <w:ind w:left="447"/>
        <w:rPr>
          <w:rFonts w:ascii="宋体" w:hAnsi="宋体" w:cs="宋体"/>
          <w:sz w:val="24"/>
          <w:lang w:val="zh-CN"/>
        </w:rPr>
      </w:pPr>
    </w:p>
    <w:p w14:paraId="131CC0E0">
      <w:pPr>
        <w:snapToGrid w:val="0"/>
        <w:spacing w:line="360" w:lineRule="auto"/>
        <w:ind w:firstLine="421"/>
        <w:rPr>
          <w:rFonts w:ascii="宋体" w:hAnsi="宋体" w:cs="宋体"/>
          <w:b/>
          <w:sz w:val="24"/>
        </w:rPr>
      </w:pPr>
      <w:r>
        <w:rPr>
          <w:rFonts w:hint="eastAsia" w:ascii="宋体" w:hAnsi="宋体" w:cs="宋体"/>
          <w:b/>
          <w:sz w:val="24"/>
        </w:rPr>
        <w:t>注：从2019年1月1日起， “环境保护税”由各类建设工程的建设方（含代建方）向税务机关缴纳。据此规定，建设工程计价中不再计列“环境保护税”。</w:t>
      </w:r>
    </w:p>
    <w:p w14:paraId="3B0A3CFF">
      <w:pPr>
        <w:numPr>
          <w:ilvl w:val="0"/>
          <w:numId w:val="3"/>
        </w:numPr>
        <w:snapToGrid w:val="0"/>
        <w:spacing w:line="440" w:lineRule="atLeast"/>
        <w:rPr>
          <w:rFonts w:ascii="宋体" w:hAnsi="宋体" w:cs="宋体"/>
          <w:bCs/>
          <w:sz w:val="24"/>
        </w:rPr>
      </w:pPr>
      <w:r>
        <w:rPr>
          <w:rFonts w:hint="eastAsia" w:ascii="宋体" w:hAnsi="宋体" w:cs="宋体"/>
          <w:b/>
          <w:sz w:val="24"/>
          <w:lang w:val="zh-CN"/>
        </w:rPr>
        <w:t>其他说明：</w:t>
      </w:r>
      <w:r>
        <w:rPr>
          <w:rFonts w:hint="eastAsia" w:ascii="宋体" w:hAnsi="宋体" w:cs="宋体"/>
          <w:bCs/>
          <w:sz w:val="24"/>
        </w:rPr>
        <w:t xml:space="preserve"> </w:t>
      </w:r>
    </w:p>
    <w:p w14:paraId="73CF9870">
      <w:pPr>
        <w:numPr>
          <w:ilvl w:val="0"/>
          <w:numId w:val="0"/>
        </w:numPr>
        <w:snapToGrid w:val="0"/>
        <w:spacing w:line="440" w:lineRule="atLeast"/>
        <w:rPr>
          <w:rFonts w:hint="eastAsia" w:ascii="宋体" w:hAnsi="宋体" w:eastAsia="宋体" w:cs="宋体"/>
          <w:bCs/>
          <w:sz w:val="24"/>
          <w:lang w:eastAsia="zh-CN"/>
        </w:rPr>
      </w:pPr>
      <w:r>
        <w:rPr>
          <w:rFonts w:hint="eastAsia" w:ascii="宋体" w:hAnsi="宋体" w:cs="宋体"/>
          <w:bCs/>
          <w:sz w:val="24"/>
          <w:lang w:val="en-US" w:eastAsia="zh-CN"/>
        </w:rPr>
        <w:t xml:space="preserve">   </w:t>
      </w:r>
      <w:r>
        <w:rPr>
          <w:rFonts w:hint="eastAsia" w:ascii="宋体" w:hAnsi="宋体" w:cs="宋体"/>
          <w:bCs/>
          <w:sz w:val="24"/>
        </w:rPr>
        <w:t xml:space="preserve"> </w:t>
      </w:r>
      <w:r>
        <w:rPr>
          <w:rFonts w:hint="eastAsia" w:ascii="宋体" w:hAnsi="宋体" w:cs="宋体"/>
          <w:bCs/>
          <w:sz w:val="24"/>
          <w:lang w:eastAsia="zh-CN"/>
        </w:rPr>
        <w:t>（一）、土建修缮工程</w:t>
      </w:r>
    </w:p>
    <w:p w14:paraId="7D26C44C">
      <w:pPr>
        <w:pStyle w:val="5"/>
        <w:keepNext w:val="0"/>
        <w:keepLines w:val="0"/>
        <w:pageBreakBefore w:val="0"/>
        <w:widowControl w:val="0"/>
        <w:kinsoku/>
        <w:wordWrap/>
        <w:overflowPunct/>
        <w:topLinePunct w:val="0"/>
        <w:autoSpaceDE/>
        <w:autoSpaceDN/>
        <w:bidi w:val="0"/>
        <w:spacing w:line="360" w:lineRule="auto"/>
        <w:textAlignment w:val="auto"/>
        <w:rPr>
          <w:rFonts w:ascii="宋体" w:hAnsi="宋体" w:cs="宋体"/>
          <w:bCs/>
          <w:sz w:val="24"/>
        </w:rPr>
      </w:pPr>
      <w:r>
        <w:rPr>
          <w:rFonts w:hint="eastAsia" w:ascii="宋体" w:hAnsi="宋体" w:cs="宋体"/>
          <w:bCs/>
          <w:sz w:val="24"/>
          <w:lang w:eastAsia="zh-CN"/>
        </w:rPr>
        <w:t>　　</w:t>
      </w:r>
      <w:r>
        <w:rPr>
          <w:rFonts w:hint="eastAsia" w:ascii="宋体" w:hAnsi="宋体" w:cs="宋体"/>
          <w:bCs/>
          <w:sz w:val="24"/>
        </w:rPr>
        <w:t>1、本工程施工时需保证相关人员车辆的安全通行，保证临近建筑及非改造区域原有管线、装饰及设施等不受破坏，并做好相应保护措施</w:t>
      </w:r>
      <w:r>
        <w:rPr>
          <w:rFonts w:hint="eastAsia" w:ascii="宋体" w:hAnsi="宋体" w:cs="宋体"/>
          <w:bCs/>
          <w:sz w:val="24"/>
          <w:lang w:eastAsia="zh-CN"/>
        </w:rPr>
        <w:t>，如有损坏，施工单位必须原样恢复，费用自行承担</w:t>
      </w:r>
      <w:r>
        <w:rPr>
          <w:rFonts w:hint="eastAsia" w:ascii="宋体" w:hAnsi="宋体" w:cs="宋体"/>
          <w:bCs/>
          <w:sz w:val="24"/>
        </w:rPr>
        <w:t>。所有施工干扰情况所增加的费用、施工现场安全围护费以及可能发生的材料二次搬运费及交叉、衔接施工增加</w:t>
      </w:r>
      <w:r>
        <w:rPr>
          <w:rFonts w:hint="eastAsia" w:ascii="宋体" w:hAnsi="宋体" w:cs="宋体"/>
          <w:bCs/>
          <w:sz w:val="24"/>
          <w:lang w:eastAsia="zh-CN"/>
        </w:rPr>
        <w:t>等</w:t>
      </w:r>
      <w:r>
        <w:rPr>
          <w:rFonts w:hint="eastAsia" w:ascii="宋体" w:hAnsi="宋体" w:cs="宋体"/>
          <w:bCs/>
          <w:sz w:val="24"/>
        </w:rPr>
        <w:t>费用，由投标人在报价中综合考虑，结算不</w:t>
      </w:r>
      <w:r>
        <w:rPr>
          <w:rFonts w:hint="eastAsia" w:ascii="宋体" w:hAnsi="宋体" w:cs="宋体"/>
          <w:bCs/>
          <w:sz w:val="24"/>
          <w:lang w:eastAsia="zh-CN"/>
        </w:rPr>
        <w:t>作</w:t>
      </w:r>
      <w:r>
        <w:rPr>
          <w:rFonts w:hint="eastAsia" w:ascii="宋体" w:hAnsi="宋体" w:cs="宋体"/>
          <w:bCs/>
          <w:sz w:val="24"/>
        </w:rPr>
        <w:t>调整。</w:t>
      </w:r>
    </w:p>
    <w:p w14:paraId="32F7AEF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ascii="宋体" w:hAnsi="宋体" w:cs="宋体"/>
          <w:bCs/>
          <w:sz w:val="24"/>
        </w:rPr>
      </w:pPr>
      <w:r>
        <w:rPr>
          <w:rFonts w:hint="eastAsia" w:ascii="宋体" w:hAnsi="宋体" w:cs="宋体"/>
          <w:bCs/>
          <w:sz w:val="24"/>
        </w:rPr>
        <w:t>2、本工程中所有砼均为商品砼，所有砂浆均为成品砂浆</w:t>
      </w:r>
      <w:r>
        <w:rPr>
          <w:rFonts w:hint="eastAsia" w:ascii="宋体" w:hAnsi="宋体" w:cs="宋体"/>
          <w:bCs/>
          <w:sz w:val="24"/>
          <w:lang w:eastAsia="zh-CN"/>
        </w:rPr>
        <w:t>，不锈钢均采用</w:t>
      </w:r>
      <w:r>
        <w:rPr>
          <w:rFonts w:hint="eastAsia" w:ascii="宋体" w:hAnsi="宋体" w:cs="宋体"/>
          <w:bCs/>
          <w:sz w:val="24"/>
          <w:lang w:val="en-US" w:eastAsia="zh-CN"/>
        </w:rPr>
        <w:t>304</w:t>
      </w:r>
      <w:r>
        <w:rPr>
          <w:rFonts w:hint="eastAsia" w:ascii="宋体" w:hAnsi="宋体" w:cs="宋体"/>
          <w:bCs/>
          <w:sz w:val="24"/>
        </w:rPr>
        <w:t>。</w:t>
      </w:r>
    </w:p>
    <w:p w14:paraId="67E56A9C">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cs="宋体"/>
          <w:bCs/>
          <w:sz w:val="24"/>
        </w:rPr>
      </w:pPr>
      <w:r>
        <w:rPr>
          <w:rFonts w:hint="eastAsia" w:ascii="宋体" w:hAnsi="宋体" w:cs="宋体"/>
          <w:bCs/>
          <w:sz w:val="24"/>
          <w:lang w:eastAsia="zh-CN"/>
        </w:rPr>
        <w:t>　　</w:t>
      </w:r>
      <w:r>
        <w:rPr>
          <w:rFonts w:hint="eastAsia" w:ascii="宋体" w:hAnsi="宋体" w:cs="宋体"/>
          <w:bCs/>
          <w:sz w:val="24"/>
        </w:rPr>
        <w:t>3、公共及协调费用（如交通、路政、市容、环保、噪音、排污、治安等费用以及因施工原因引起的相关部门应交纳费用）由投标人自行调研作为单项费用计入相关措施项目费中，结算时不作调整。</w:t>
      </w:r>
    </w:p>
    <w:p w14:paraId="32D248C8">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cs="宋体"/>
          <w:bCs/>
          <w:sz w:val="24"/>
        </w:rPr>
      </w:pPr>
      <w:r>
        <w:rPr>
          <w:rFonts w:hint="eastAsia" w:ascii="宋体" w:hAnsi="宋体" w:cs="宋体"/>
          <w:bCs/>
          <w:sz w:val="24"/>
          <w:lang w:eastAsia="zh-CN"/>
        </w:rPr>
        <w:t>　　</w:t>
      </w:r>
      <w:r>
        <w:rPr>
          <w:rFonts w:hint="eastAsia" w:ascii="宋体" w:hAnsi="宋体" w:cs="宋体"/>
          <w:bCs/>
          <w:sz w:val="24"/>
        </w:rPr>
        <w:t>4、</w:t>
      </w:r>
      <w:r>
        <w:rPr>
          <w:rFonts w:hint="eastAsia" w:ascii="宋体" w:hAnsi="宋体" w:cs="宋体"/>
          <w:bCs/>
          <w:sz w:val="24"/>
          <w:lang w:eastAsia="zh-CN"/>
        </w:rPr>
        <w:t>本工程为拆除改造项目，投标必须踏勘现场，包括</w:t>
      </w:r>
      <w:r>
        <w:rPr>
          <w:rFonts w:hint="eastAsia" w:ascii="宋体" w:hAnsi="宋体"/>
          <w:sz w:val="24"/>
          <w:lang w:val="en-US" w:eastAsia="zh-CN"/>
        </w:rPr>
        <w:t>原地面地砖、墙砖等所有块料面层及基层、所有砖墙砌体、隔墙等、所有门窗拆除、拆墙开门洞、各类天棚、涂料及原各类柜、台、附墙字牌等、卫生洁具及各类管线、管道等所有拆除，</w:t>
      </w:r>
      <w:r>
        <w:rPr>
          <w:rFonts w:hint="eastAsia" w:ascii="宋体" w:hAnsi="宋体" w:cs="宋体"/>
          <w:bCs/>
          <w:sz w:val="24"/>
        </w:rPr>
        <w:t>应结合工程量清单</w:t>
      </w:r>
      <w:r>
        <w:rPr>
          <w:rFonts w:hint="eastAsia" w:ascii="宋体" w:hAnsi="宋体" w:cs="宋体"/>
          <w:bCs/>
          <w:sz w:val="24"/>
          <w:lang w:eastAsia="zh-CN"/>
        </w:rPr>
        <w:t>、</w:t>
      </w:r>
      <w:r>
        <w:rPr>
          <w:rFonts w:hint="eastAsia" w:ascii="宋体" w:hAnsi="宋体" w:cs="宋体"/>
          <w:bCs/>
          <w:sz w:val="24"/>
        </w:rPr>
        <w:t>招标图纸</w:t>
      </w:r>
      <w:r>
        <w:rPr>
          <w:rFonts w:hint="eastAsia" w:ascii="宋体" w:hAnsi="宋体" w:cs="宋体"/>
          <w:bCs/>
          <w:sz w:val="24"/>
          <w:lang w:eastAsia="zh-CN"/>
        </w:rPr>
        <w:t>及施工过程中完成本次改造可能发生的零星项目等</w:t>
      </w:r>
      <w:r>
        <w:rPr>
          <w:rFonts w:hint="eastAsia" w:ascii="宋体" w:hAnsi="宋体" w:cs="宋体"/>
          <w:bCs/>
          <w:sz w:val="24"/>
        </w:rPr>
        <w:t>，</w:t>
      </w:r>
      <w:r>
        <w:rPr>
          <w:rFonts w:hint="eastAsia" w:ascii="宋体" w:hAnsi="宋体" w:cs="宋体"/>
          <w:bCs/>
          <w:sz w:val="24"/>
          <w:lang w:eastAsia="zh-CN"/>
        </w:rPr>
        <w:t>报价时</w:t>
      </w:r>
      <w:r>
        <w:rPr>
          <w:rFonts w:hint="eastAsia" w:ascii="宋体" w:hAnsi="宋体"/>
          <w:sz w:val="24"/>
          <w:lang w:val="en-US" w:eastAsia="zh-CN"/>
        </w:rPr>
        <w:t>按项计算，</w:t>
      </w:r>
      <w:r>
        <w:rPr>
          <w:rFonts w:hint="eastAsia" w:ascii="宋体" w:hAnsi="宋体" w:cs="宋体"/>
          <w:bCs/>
          <w:sz w:val="24"/>
          <w:lang w:eastAsia="zh-CN"/>
        </w:rPr>
        <w:t>结算时不调整</w:t>
      </w:r>
      <w:r>
        <w:rPr>
          <w:rFonts w:hint="eastAsia" w:ascii="宋体" w:hAnsi="宋体" w:cs="宋体"/>
          <w:bCs/>
          <w:sz w:val="24"/>
        </w:rPr>
        <w:t>。</w:t>
      </w:r>
    </w:p>
    <w:p w14:paraId="00AACFAA">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cs="宋体"/>
          <w:bCs/>
          <w:sz w:val="24"/>
        </w:rPr>
      </w:pPr>
      <w:r>
        <w:rPr>
          <w:rFonts w:hint="eastAsia" w:ascii="宋体" w:hAnsi="宋体"/>
          <w:sz w:val="24"/>
          <w:lang w:eastAsia="zh-CN"/>
        </w:rPr>
        <w:t>　　</w:t>
      </w:r>
      <w:r>
        <w:rPr>
          <w:rFonts w:hint="eastAsia" w:ascii="宋体" w:hAnsi="宋体"/>
          <w:sz w:val="24"/>
        </w:rPr>
        <w:t>5、对招标人所列的措施项目，投标人可根据工程实际与施工组织设计进行增补，但不应更改招标人已列措施项目。结算时，除工程变更引起的施工方案改变</w:t>
      </w:r>
      <w:r>
        <w:rPr>
          <w:rFonts w:hint="eastAsia" w:ascii="宋体" w:hAnsi="宋体"/>
          <w:sz w:val="24"/>
          <w:lang w:eastAsia="zh-CN"/>
        </w:rPr>
        <w:t>并得利到甲方与监理方审核通过的以外</w:t>
      </w:r>
      <w:r>
        <w:rPr>
          <w:rFonts w:hint="eastAsia" w:ascii="宋体" w:hAnsi="宋体"/>
          <w:sz w:val="24"/>
        </w:rPr>
        <w:t>，承包人不得以招标</w:t>
      </w:r>
      <w:r>
        <w:rPr>
          <w:rFonts w:hint="eastAsia" w:ascii="宋体" w:hAnsi="宋体"/>
          <w:sz w:val="24"/>
          <w:lang w:eastAsia="zh-CN"/>
        </w:rPr>
        <w:t>时</w:t>
      </w:r>
      <w:r>
        <w:rPr>
          <w:rFonts w:hint="eastAsia" w:ascii="宋体" w:hAnsi="宋体"/>
          <w:sz w:val="24"/>
        </w:rPr>
        <w:t>工程措施项目清单缺项为由要求新增措施项目</w:t>
      </w:r>
      <w:r>
        <w:rPr>
          <w:rFonts w:hint="eastAsia" w:ascii="宋体" w:hAnsi="宋体"/>
          <w:sz w:val="24"/>
          <w:lang w:eastAsia="zh-CN"/>
        </w:rPr>
        <w:t>，措施项目除说明可调整外结算时不调整</w:t>
      </w:r>
      <w:r>
        <w:rPr>
          <w:rFonts w:hint="eastAsia" w:ascii="宋体" w:hAnsi="宋体"/>
          <w:sz w:val="24"/>
        </w:rPr>
        <w:t>。</w:t>
      </w:r>
    </w:p>
    <w:p w14:paraId="115F8E1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ascii="宋体" w:hAnsi="宋体" w:cs="宋体"/>
          <w:bCs/>
          <w:sz w:val="24"/>
        </w:rPr>
      </w:pPr>
      <w:r>
        <w:rPr>
          <w:rFonts w:hint="eastAsia" w:ascii="宋体" w:hAnsi="宋体" w:cs="宋体"/>
          <w:bCs/>
          <w:sz w:val="24"/>
        </w:rPr>
        <w:t>6、未说明的其它情况详见工程量清单特征描述、设计施工图及相关图集。</w:t>
      </w:r>
    </w:p>
    <w:p w14:paraId="0E14A36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cs="宋体"/>
          <w:bCs/>
          <w:sz w:val="24"/>
        </w:rPr>
      </w:pPr>
      <w:r>
        <w:rPr>
          <w:rFonts w:hint="eastAsia" w:ascii="宋体" w:hAnsi="宋体" w:cs="宋体"/>
          <w:bCs/>
          <w:sz w:val="24"/>
        </w:rPr>
        <w:t>7、投标人必须做到文明施工，施工中做好满足相关职能部门要求的安全围护围挡，由此而</w:t>
      </w:r>
      <w:r>
        <w:rPr>
          <w:rFonts w:hint="eastAsia" w:ascii="宋体" w:hAnsi="宋体" w:cs="宋体"/>
          <w:bCs/>
          <w:sz w:val="24"/>
          <w:lang w:eastAsia="zh-CN"/>
        </w:rPr>
        <w:t>发　　　　　</w:t>
      </w:r>
      <w:r>
        <w:rPr>
          <w:rFonts w:hint="eastAsia" w:ascii="宋体" w:hAnsi="宋体" w:cs="宋体"/>
          <w:bCs/>
          <w:sz w:val="24"/>
        </w:rPr>
        <w:t>生的费用，应考虑充分考虑该费用并计入</w:t>
      </w:r>
      <w:r>
        <w:rPr>
          <w:rFonts w:hint="eastAsia" w:ascii="宋体" w:hAnsi="宋体" w:cs="宋体"/>
          <w:bCs/>
          <w:sz w:val="24"/>
          <w:lang w:eastAsia="zh-CN"/>
        </w:rPr>
        <w:t>综合单价或措施项目中，否则视为让利</w:t>
      </w:r>
      <w:r>
        <w:rPr>
          <w:rFonts w:hint="eastAsia" w:ascii="宋体" w:hAnsi="宋体" w:cs="宋体"/>
          <w:bCs/>
          <w:sz w:val="24"/>
        </w:rPr>
        <w:t>。</w:t>
      </w:r>
    </w:p>
    <w:p w14:paraId="0E19E7A0">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sz w:val="24"/>
        </w:rPr>
      </w:pPr>
      <w:r>
        <w:rPr>
          <w:rFonts w:hint="eastAsia" w:ascii="宋体" w:hAnsi="宋体"/>
          <w:sz w:val="24"/>
          <w:lang w:val="en-US" w:eastAsia="zh-CN"/>
        </w:rPr>
        <w:t>8</w:t>
      </w:r>
      <w:r>
        <w:rPr>
          <w:rFonts w:hint="eastAsia" w:ascii="宋体" w:hAnsi="宋体"/>
          <w:sz w:val="24"/>
        </w:rPr>
        <w:t>、本工程中脚手架费用，投标人应针对工程实际情况结合自身施工组织设计自行考虑报价，</w:t>
      </w:r>
      <w:r>
        <w:rPr>
          <w:rFonts w:hint="eastAsia" w:ascii="宋体" w:hAnsi="宋体"/>
          <w:sz w:val="24"/>
          <w:lang w:eastAsia="zh-CN"/>
        </w:rPr>
        <w:t>清单措施项目以项为单位的</w:t>
      </w:r>
      <w:r>
        <w:rPr>
          <w:rFonts w:hint="eastAsia" w:ascii="宋体" w:hAnsi="宋体"/>
          <w:sz w:val="24"/>
        </w:rPr>
        <w:t>结算时不调整。</w:t>
      </w:r>
    </w:p>
    <w:p w14:paraId="6BF2C039">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9、本工程中垂直运输费，</w:t>
      </w:r>
      <w:r>
        <w:rPr>
          <w:rFonts w:hint="eastAsia" w:ascii="宋体" w:hAnsi="宋体"/>
          <w:sz w:val="24"/>
        </w:rPr>
        <w:t>投标人应针对工程实际情况结合自身施工组织设计自行考虑报价，</w:t>
      </w:r>
      <w:r>
        <w:rPr>
          <w:rFonts w:hint="eastAsia" w:ascii="宋体" w:hAnsi="宋体"/>
          <w:sz w:val="24"/>
          <w:lang w:eastAsia="zh-CN"/>
        </w:rPr>
        <w:t>清单措施项目以项为单位的</w:t>
      </w:r>
      <w:r>
        <w:rPr>
          <w:rFonts w:hint="eastAsia" w:ascii="宋体" w:hAnsi="宋体"/>
          <w:sz w:val="24"/>
        </w:rPr>
        <w:t>结算时不调整。</w:t>
      </w:r>
    </w:p>
    <w:p w14:paraId="1CF8A6AA">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sz w:val="24"/>
          <w:lang w:val="en-US" w:eastAsia="zh-CN"/>
        </w:rPr>
      </w:pPr>
      <w:r>
        <w:rPr>
          <w:rFonts w:hint="eastAsia" w:ascii="宋体" w:hAnsi="宋体"/>
          <w:sz w:val="24"/>
        </w:rPr>
        <w:t>1</w:t>
      </w:r>
      <w:r>
        <w:rPr>
          <w:rFonts w:hint="eastAsia" w:ascii="宋体" w:hAnsi="宋体"/>
          <w:sz w:val="24"/>
          <w:lang w:val="en-US" w:eastAsia="zh-CN"/>
        </w:rPr>
        <w:t>0</w:t>
      </w:r>
      <w:r>
        <w:rPr>
          <w:rFonts w:hint="eastAsia" w:ascii="宋体" w:hAnsi="宋体"/>
          <w:sz w:val="24"/>
        </w:rPr>
        <w:t>、投标单位必须自行踏勘现场，在投标报价时综合考虑施工现场</w:t>
      </w:r>
      <w:r>
        <w:rPr>
          <w:rFonts w:hint="eastAsia" w:ascii="宋体" w:hAnsi="宋体"/>
          <w:sz w:val="24"/>
          <w:lang w:eastAsia="zh-CN"/>
        </w:rPr>
        <w:t>各种复杂</w:t>
      </w:r>
      <w:r>
        <w:rPr>
          <w:rFonts w:hint="eastAsia" w:ascii="宋体" w:hAnsi="宋体"/>
          <w:sz w:val="24"/>
        </w:rPr>
        <w:t>因素。</w:t>
      </w:r>
      <w:r>
        <w:rPr>
          <w:rFonts w:hint="eastAsia" w:ascii="宋体" w:hAnsi="宋体"/>
          <w:sz w:val="24"/>
          <w:lang w:val="en-US" w:eastAsia="zh-CN"/>
        </w:rPr>
        <w:t>　</w:t>
      </w:r>
    </w:p>
    <w:p w14:paraId="6228EAD7">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宋体" w:hAnsi="宋体"/>
          <w:sz w:val="24"/>
          <w:lang w:val="en-US" w:eastAsia="zh-CN"/>
        </w:rPr>
      </w:pPr>
      <w:r>
        <w:rPr>
          <w:rFonts w:hint="eastAsia" w:ascii="宋体" w:hAnsi="宋体" w:eastAsia="宋体" w:cs="宋体"/>
          <w:sz w:val="24"/>
          <w:lang w:val="en-US" w:eastAsia="zh-CN"/>
        </w:rPr>
        <w:t>（二）安装</w:t>
      </w:r>
      <w:r>
        <w:rPr>
          <w:rFonts w:hint="eastAsia" w:ascii="宋体" w:hAnsi="宋体" w:cs="宋体"/>
          <w:sz w:val="24"/>
          <w:lang w:val="en-US" w:eastAsia="zh-CN"/>
        </w:rPr>
        <w:t>工程</w:t>
      </w:r>
    </w:p>
    <w:p w14:paraId="380C7B20">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sz w:val="24"/>
          <w:lang w:val="en-US" w:eastAsia="zh-CN"/>
        </w:rPr>
      </w:pPr>
      <w:r>
        <w:rPr>
          <w:rFonts w:hint="eastAsia" w:ascii="宋体" w:hAnsi="宋体"/>
          <w:sz w:val="24"/>
          <w:lang w:val="en-US" w:eastAsia="zh-CN"/>
        </w:rPr>
        <w:t>1、给排水按图计入本次报价中。</w:t>
      </w:r>
    </w:p>
    <w:p w14:paraId="2AC1F6D1">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sz w:val="24"/>
          <w:lang w:val="en-US" w:eastAsia="zh-CN"/>
        </w:rPr>
      </w:pPr>
      <w:r>
        <w:rPr>
          <w:rFonts w:hint="eastAsia" w:ascii="宋体" w:hAnsi="宋体"/>
          <w:sz w:val="24"/>
          <w:lang w:val="en-US" w:eastAsia="zh-CN"/>
        </w:rPr>
        <w:t>2、电气按图计入本次报价中，改造涉及增加零星管线由</w:t>
      </w:r>
      <w:r>
        <w:rPr>
          <w:rFonts w:hint="eastAsia" w:ascii="宋体" w:hAnsi="宋体"/>
          <w:sz w:val="24"/>
        </w:rPr>
        <w:t>投标单位踏勘现场，在投标报价时综合考虑</w:t>
      </w:r>
      <w:r>
        <w:rPr>
          <w:rFonts w:hint="eastAsia" w:ascii="宋体" w:hAnsi="宋体"/>
          <w:sz w:val="24"/>
          <w:lang w:eastAsia="zh-CN"/>
        </w:rPr>
        <w:t>，结算时不作调整</w:t>
      </w:r>
      <w:r>
        <w:rPr>
          <w:rFonts w:hint="eastAsia" w:ascii="宋体" w:hAnsi="宋体"/>
          <w:sz w:val="24"/>
          <w:lang w:val="en-US" w:eastAsia="zh-CN"/>
        </w:rPr>
        <w:t>。</w:t>
      </w:r>
    </w:p>
    <w:p w14:paraId="36C1DA4B">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sz w:val="24"/>
          <w:lang w:val="en-US" w:eastAsia="zh-CN"/>
        </w:rPr>
      </w:pPr>
      <w:r>
        <w:rPr>
          <w:rFonts w:hint="eastAsia" w:ascii="宋体" w:hAnsi="宋体"/>
          <w:sz w:val="24"/>
          <w:lang w:val="en-US" w:eastAsia="zh-CN"/>
        </w:rPr>
        <w:t>3、所有打孔、封堵费用考虑在相应子目的综合单价中，结算时不调整。</w:t>
      </w:r>
    </w:p>
    <w:p w14:paraId="7A7C62F9">
      <w:pPr>
        <w:keepNext w:val="0"/>
        <w:keepLines w:val="0"/>
        <w:pageBreakBefore w:val="0"/>
        <w:widowControl w:val="0"/>
        <w:kinsoku/>
        <w:wordWrap/>
        <w:overflowPunct/>
        <w:topLinePunct w:val="0"/>
        <w:autoSpaceDE/>
        <w:autoSpaceDN/>
        <w:bidi w:val="0"/>
        <w:adjustRightInd w:val="0"/>
        <w:snapToGrid w:val="0"/>
        <w:spacing w:line="360" w:lineRule="auto"/>
        <w:ind w:right="25" w:rightChars="12"/>
        <w:textAlignment w:val="auto"/>
        <w:rPr>
          <w:rFonts w:hint="eastAsia" w:ascii="宋体" w:hAnsi="宋体" w:cs="宋体"/>
          <w:b/>
          <w:bCs w:val="0"/>
          <w:sz w:val="24"/>
          <w:lang w:val="zh-CN" w:eastAsia="zh-CN"/>
        </w:rPr>
      </w:pPr>
      <w:r>
        <w:rPr>
          <w:rFonts w:hint="eastAsia" w:ascii="宋体" w:hAnsi="宋体" w:cs="宋体"/>
          <w:b/>
          <w:bCs w:val="0"/>
          <w:sz w:val="24"/>
          <w:lang w:val="en-US" w:eastAsia="zh-CN"/>
        </w:rPr>
        <w:t>九、</w:t>
      </w:r>
      <w:r>
        <w:rPr>
          <w:rFonts w:hint="eastAsia" w:ascii="宋体" w:hAnsi="宋体" w:cs="宋体"/>
          <w:b/>
          <w:bCs w:val="0"/>
          <w:sz w:val="24"/>
          <w:lang w:val="zh-CN" w:eastAsia="zh-CN"/>
        </w:rPr>
        <w:t>暂估价明细表（投标单位报价时不得变动让利）</w:t>
      </w:r>
    </w:p>
    <w:p w14:paraId="6FFCA593">
      <w:pPr>
        <w:snapToGrid w:val="0"/>
        <w:spacing w:line="440" w:lineRule="atLeast"/>
        <w:ind w:firstLine="241" w:firstLineChars="100"/>
        <w:rPr>
          <w:rFonts w:hint="eastAsia" w:ascii="宋体" w:hAnsi="宋体" w:eastAsia="宋体" w:cs="宋体"/>
          <w:b/>
          <w:sz w:val="24"/>
          <w:szCs w:val="24"/>
          <w:lang w:val="en-US" w:eastAsia="zh-CN"/>
        </w:rPr>
      </w:pPr>
      <w:r>
        <w:rPr>
          <w:rFonts w:hint="eastAsia" w:ascii="宋体" w:hAnsi="宋体" w:cs="宋体"/>
          <w:b/>
          <w:sz w:val="24"/>
        </w:rPr>
        <w:t>1、暂列金额明细表：</w:t>
      </w:r>
      <w:r>
        <w:rPr>
          <w:rFonts w:hint="eastAsia" w:ascii="宋体" w:hAnsi="宋体" w:cs="宋体"/>
          <w:bCs/>
          <w:sz w:val="24"/>
          <w:lang w:val="zh-CN" w:eastAsia="zh-CN"/>
        </w:rPr>
        <w:t>江阴市军队离退休干部服务中心改造工程</w:t>
      </w:r>
    </w:p>
    <w:tbl>
      <w:tblPr>
        <w:tblStyle w:val="10"/>
        <w:tblW w:w="5000" w:type="pct"/>
        <w:tblInd w:w="0" w:type="dxa"/>
        <w:tblLayout w:type="autofit"/>
        <w:tblCellMar>
          <w:top w:w="0" w:type="dxa"/>
          <w:left w:w="108" w:type="dxa"/>
          <w:bottom w:w="0" w:type="dxa"/>
          <w:right w:w="108" w:type="dxa"/>
        </w:tblCellMar>
      </w:tblPr>
      <w:tblGrid>
        <w:gridCol w:w="758"/>
        <w:gridCol w:w="4382"/>
        <w:gridCol w:w="1287"/>
        <w:gridCol w:w="1843"/>
        <w:gridCol w:w="2026"/>
      </w:tblGrid>
      <w:tr w14:paraId="770A5C73">
        <w:tblPrEx>
          <w:tblCellMar>
            <w:top w:w="0" w:type="dxa"/>
            <w:left w:w="108" w:type="dxa"/>
            <w:bottom w:w="0" w:type="dxa"/>
            <w:right w:w="108" w:type="dxa"/>
          </w:tblCellMar>
        </w:tblPrEx>
        <w:trPr>
          <w:trHeight w:val="417" w:hRule="atLeast"/>
        </w:trPr>
        <w:tc>
          <w:tcPr>
            <w:tcW w:w="5000" w:type="pct"/>
            <w:gridSpan w:val="5"/>
            <w:tcBorders>
              <w:top w:val="single" w:color="auto" w:sz="6" w:space="0"/>
              <w:left w:val="single" w:color="auto" w:sz="6" w:space="0"/>
              <w:bottom w:val="single" w:color="auto" w:sz="6" w:space="0"/>
              <w:right w:val="single" w:color="auto" w:sz="6" w:space="0"/>
            </w:tcBorders>
            <w:noWrap w:val="0"/>
            <w:vAlign w:val="top"/>
          </w:tcPr>
          <w:p w14:paraId="6CF5FA8D">
            <w:pPr>
              <w:autoSpaceDE w:val="0"/>
              <w:autoSpaceDN w:val="0"/>
              <w:jc w:val="left"/>
              <w:rPr>
                <w:rFonts w:hint="default" w:ascii="宋体" w:hAnsi="宋体"/>
                <w:sz w:val="24"/>
                <w:szCs w:val="24"/>
                <w:lang w:val="en-US"/>
              </w:rPr>
            </w:pPr>
            <w:r>
              <w:rPr>
                <w:rFonts w:hint="eastAsia" w:ascii="宋体" w:hAnsi="宋体" w:cs="宋体"/>
                <w:sz w:val="24"/>
                <w:szCs w:val="24"/>
                <w:lang w:val="zh-CN"/>
              </w:rPr>
              <w:t>工程名称：</w:t>
            </w:r>
            <w:r>
              <w:rPr>
                <w:rFonts w:hint="eastAsia" w:ascii="宋体" w:hAnsi="宋体" w:cs="宋体"/>
                <w:bCs/>
                <w:sz w:val="24"/>
                <w:lang w:val="zh-CN" w:eastAsia="zh-CN"/>
              </w:rPr>
              <w:t>江阴市军队离退休干部服务中心改造工程</w:t>
            </w:r>
          </w:p>
        </w:tc>
      </w:tr>
      <w:tr w14:paraId="28C04A71">
        <w:tblPrEx>
          <w:tblCellMar>
            <w:top w:w="0" w:type="dxa"/>
            <w:left w:w="108" w:type="dxa"/>
            <w:bottom w:w="0" w:type="dxa"/>
            <w:right w:w="108" w:type="dxa"/>
          </w:tblCellMar>
        </w:tblPrEx>
        <w:trPr>
          <w:trHeight w:val="390" w:hRule="atLeast"/>
        </w:trPr>
        <w:tc>
          <w:tcPr>
            <w:tcW w:w="368" w:type="pct"/>
            <w:tcBorders>
              <w:top w:val="single" w:color="auto" w:sz="6" w:space="0"/>
              <w:left w:val="single" w:color="auto" w:sz="6" w:space="0"/>
              <w:bottom w:val="single" w:color="auto" w:sz="6" w:space="0"/>
              <w:right w:val="single" w:color="auto" w:sz="6" w:space="0"/>
            </w:tcBorders>
            <w:noWrap w:val="0"/>
            <w:vAlign w:val="top"/>
          </w:tcPr>
          <w:p w14:paraId="07904FBD">
            <w:pPr>
              <w:autoSpaceDE w:val="0"/>
              <w:autoSpaceDN w:val="0"/>
              <w:jc w:val="left"/>
              <w:rPr>
                <w:rFonts w:ascii="宋体" w:hAnsi="宋体" w:cs="宋体"/>
                <w:sz w:val="24"/>
                <w:szCs w:val="24"/>
              </w:rPr>
            </w:pPr>
            <w:r>
              <w:rPr>
                <w:rFonts w:hint="eastAsia" w:ascii="宋体" w:hAnsi="宋体" w:cs="宋体"/>
                <w:sz w:val="24"/>
                <w:szCs w:val="24"/>
              </w:rPr>
              <w:t>序号</w:t>
            </w:r>
          </w:p>
        </w:tc>
        <w:tc>
          <w:tcPr>
            <w:tcW w:w="2128" w:type="pct"/>
            <w:tcBorders>
              <w:top w:val="single" w:color="auto" w:sz="6" w:space="0"/>
              <w:left w:val="single" w:color="auto" w:sz="6" w:space="0"/>
              <w:bottom w:val="single" w:color="auto" w:sz="6" w:space="0"/>
              <w:right w:val="single" w:color="auto" w:sz="6" w:space="0"/>
            </w:tcBorders>
            <w:noWrap w:val="0"/>
            <w:vAlign w:val="top"/>
          </w:tcPr>
          <w:p w14:paraId="567D6C71">
            <w:pPr>
              <w:autoSpaceDE w:val="0"/>
              <w:autoSpaceDN w:val="0"/>
              <w:jc w:val="left"/>
              <w:rPr>
                <w:rFonts w:ascii="宋体" w:hAnsi="宋体" w:cs="宋体"/>
                <w:sz w:val="24"/>
                <w:szCs w:val="24"/>
              </w:rPr>
            </w:pPr>
            <w:r>
              <w:rPr>
                <w:rFonts w:hint="eastAsia" w:ascii="宋体" w:hAnsi="宋体" w:cs="宋体"/>
                <w:sz w:val="24"/>
                <w:szCs w:val="24"/>
              </w:rPr>
              <w:t>项目名称</w:t>
            </w:r>
          </w:p>
        </w:tc>
        <w:tc>
          <w:tcPr>
            <w:tcW w:w="625" w:type="pct"/>
            <w:tcBorders>
              <w:top w:val="single" w:color="auto" w:sz="6" w:space="0"/>
              <w:left w:val="single" w:color="auto" w:sz="6" w:space="0"/>
              <w:bottom w:val="single" w:color="auto" w:sz="6" w:space="0"/>
              <w:right w:val="single" w:color="auto" w:sz="6" w:space="0"/>
            </w:tcBorders>
            <w:noWrap w:val="0"/>
            <w:vAlign w:val="top"/>
          </w:tcPr>
          <w:p w14:paraId="4EFA7CB7">
            <w:pPr>
              <w:autoSpaceDE w:val="0"/>
              <w:autoSpaceDN w:val="0"/>
              <w:jc w:val="left"/>
              <w:rPr>
                <w:rFonts w:ascii="宋体" w:hAnsi="宋体" w:cs="宋体"/>
                <w:sz w:val="24"/>
                <w:szCs w:val="24"/>
              </w:rPr>
            </w:pPr>
            <w:r>
              <w:rPr>
                <w:rFonts w:hint="eastAsia" w:ascii="宋体" w:hAnsi="宋体" w:cs="宋体"/>
                <w:sz w:val="24"/>
                <w:szCs w:val="24"/>
              </w:rPr>
              <w:t>计量单位</w:t>
            </w:r>
          </w:p>
        </w:tc>
        <w:tc>
          <w:tcPr>
            <w:tcW w:w="895" w:type="pct"/>
            <w:tcBorders>
              <w:top w:val="single" w:color="auto" w:sz="6" w:space="0"/>
              <w:left w:val="single" w:color="auto" w:sz="6" w:space="0"/>
              <w:bottom w:val="single" w:color="auto" w:sz="6" w:space="0"/>
              <w:right w:val="single" w:color="auto" w:sz="6" w:space="0"/>
            </w:tcBorders>
            <w:noWrap w:val="0"/>
            <w:vAlign w:val="top"/>
          </w:tcPr>
          <w:p w14:paraId="65DD60F2">
            <w:pPr>
              <w:autoSpaceDE w:val="0"/>
              <w:autoSpaceDN w:val="0"/>
              <w:jc w:val="center"/>
              <w:rPr>
                <w:rFonts w:ascii="宋体" w:hAnsi="宋体" w:cs="宋体"/>
                <w:sz w:val="24"/>
                <w:szCs w:val="24"/>
              </w:rPr>
            </w:pPr>
            <w:r>
              <w:rPr>
                <w:rFonts w:hint="eastAsia" w:ascii="宋体" w:hAnsi="宋体" w:cs="宋体"/>
                <w:sz w:val="24"/>
                <w:szCs w:val="24"/>
              </w:rPr>
              <w:t>暂定金额（元）</w:t>
            </w:r>
          </w:p>
        </w:tc>
        <w:tc>
          <w:tcPr>
            <w:tcW w:w="982" w:type="pct"/>
            <w:tcBorders>
              <w:top w:val="single" w:color="auto" w:sz="6" w:space="0"/>
              <w:left w:val="single" w:color="auto" w:sz="6" w:space="0"/>
              <w:bottom w:val="single" w:color="auto" w:sz="6" w:space="0"/>
              <w:right w:val="single" w:color="auto" w:sz="6" w:space="0"/>
            </w:tcBorders>
            <w:noWrap w:val="0"/>
            <w:vAlign w:val="top"/>
          </w:tcPr>
          <w:p w14:paraId="3E7376AE">
            <w:pPr>
              <w:autoSpaceDE w:val="0"/>
              <w:autoSpaceDN w:val="0"/>
              <w:jc w:val="left"/>
              <w:rPr>
                <w:rFonts w:ascii="宋体" w:hAnsi="宋体" w:cs="宋体"/>
                <w:sz w:val="24"/>
                <w:szCs w:val="24"/>
              </w:rPr>
            </w:pPr>
            <w:r>
              <w:rPr>
                <w:rFonts w:hint="eastAsia" w:ascii="宋体" w:hAnsi="宋体" w:cs="宋体"/>
                <w:sz w:val="24"/>
                <w:szCs w:val="24"/>
              </w:rPr>
              <w:t>备注</w:t>
            </w:r>
          </w:p>
        </w:tc>
      </w:tr>
      <w:tr w14:paraId="070F0665">
        <w:tblPrEx>
          <w:tblCellMar>
            <w:top w:w="0" w:type="dxa"/>
            <w:left w:w="108" w:type="dxa"/>
            <w:bottom w:w="0" w:type="dxa"/>
            <w:right w:w="108" w:type="dxa"/>
          </w:tblCellMar>
        </w:tblPrEx>
        <w:trPr>
          <w:trHeight w:val="300" w:hRule="atLeast"/>
        </w:trPr>
        <w:tc>
          <w:tcPr>
            <w:tcW w:w="368" w:type="pct"/>
            <w:tcBorders>
              <w:top w:val="single" w:color="auto" w:sz="6" w:space="0"/>
              <w:left w:val="single" w:color="auto" w:sz="6" w:space="0"/>
              <w:bottom w:val="single" w:color="auto" w:sz="6" w:space="0"/>
              <w:right w:val="single" w:color="auto" w:sz="6" w:space="0"/>
            </w:tcBorders>
            <w:noWrap w:val="0"/>
            <w:vAlign w:val="top"/>
          </w:tcPr>
          <w:p w14:paraId="6EEBD2BF">
            <w:pPr>
              <w:autoSpaceDE w:val="0"/>
              <w:autoSpaceDN w:val="0"/>
              <w:ind w:firstLine="240" w:firstLineChars="100"/>
              <w:jc w:val="left"/>
              <w:rPr>
                <w:rFonts w:ascii="宋体" w:hAnsi="宋体" w:cs="宋体"/>
                <w:sz w:val="24"/>
                <w:szCs w:val="24"/>
              </w:rPr>
            </w:pPr>
            <w:r>
              <w:rPr>
                <w:rFonts w:hint="eastAsia" w:ascii="宋体" w:hAnsi="宋体" w:cs="宋体"/>
                <w:sz w:val="24"/>
                <w:szCs w:val="24"/>
              </w:rPr>
              <w:t>1</w:t>
            </w:r>
          </w:p>
        </w:tc>
        <w:tc>
          <w:tcPr>
            <w:tcW w:w="2128" w:type="pct"/>
            <w:tcBorders>
              <w:top w:val="single" w:color="auto" w:sz="6" w:space="0"/>
              <w:left w:val="single" w:color="auto" w:sz="6" w:space="0"/>
              <w:bottom w:val="single" w:color="auto" w:sz="6" w:space="0"/>
              <w:right w:val="single" w:color="auto" w:sz="6" w:space="0"/>
            </w:tcBorders>
            <w:noWrap w:val="0"/>
            <w:vAlign w:val="top"/>
          </w:tcPr>
          <w:p w14:paraId="1770577B">
            <w:pPr>
              <w:autoSpaceDE w:val="0"/>
              <w:autoSpaceDN w:val="0"/>
              <w:jc w:val="left"/>
              <w:rPr>
                <w:rFonts w:ascii="宋体" w:hAnsi="宋体" w:cs="宋体"/>
                <w:sz w:val="24"/>
                <w:szCs w:val="24"/>
              </w:rPr>
            </w:pPr>
            <w:r>
              <w:rPr>
                <w:rFonts w:hint="eastAsia" w:ascii="宋体" w:hAnsi="宋体" w:cs="宋体"/>
                <w:sz w:val="24"/>
                <w:szCs w:val="24"/>
              </w:rPr>
              <w:t>工程量清单中工程量偏差和设计变更</w:t>
            </w:r>
          </w:p>
        </w:tc>
        <w:tc>
          <w:tcPr>
            <w:tcW w:w="625" w:type="pct"/>
            <w:tcBorders>
              <w:top w:val="single" w:color="auto" w:sz="6" w:space="0"/>
              <w:left w:val="single" w:color="auto" w:sz="6" w:space="0"/>
              <w:bottom w:val="single" w:color="auto" w:sz="6" w:space="0"/>
              <w:right w:val="single" w:color="auto" w:sz="6" w:space="0"/>
            </w:tcBorders>
            <w:noWrap w:val="0"/>
            <w:vAlign w:val="top"/>
          </w:tcPr>
          <w:p w14:paraId="4D0AA830">
            <w:pPr>
              <w:autoSpaceDE w:val="0"/>
              <w:autoSpaceDN w:val="0"/>
              <w:ind w:firstLine="240" w:firstLineChars="100"/>
              <w:jc w:val="left"/>
              <w:rPr>
                <w:rFonts w:ascii="宋体" w:hAnsi="宋体" w:cs="宋体"/>
                <w:sz w:val="24"/>
                <w:szCs w:val="24"/>
              </w:rPr>
            </w:pPr>
            <w:r>
              <w:rPr>
                <w:rFonts w:hint="eastAsia" w:ascii="宋体" w:hAnsi="宋体" w:cs="宋体"/>
                <w:sz w:val="24"/>
                <w:szCs w:val="24"/>
              </w:rPr>
              <w:t>项</w:t>
            </w:r>
          </w:p>
        </w:tc>
        <w:tc>
          <w:tcPr>
            <w:tcW w:w="895" w:type="pct"/>
            <w:tcBorders>
              <w:top w:val="single" w:color="auto" w:sz="6" w:space="0"/>
              <w:left w:val="single" w:color="auto" w:sz="6" w:space="0"/>
              <w:bottom w:val="single" w:color="auto" w:sz="6" w:space="0"/>
              <w:right w:val="single" w:color="auto" w:sz="6" w:space="0"/>
            </w:tcBorders>
            <w:noWrap w:val="0"/>
            <w:vAlign w:val="top"/>
          </w:tcPr>
          <w:p w14:paraId="6986813C">
            <w:pPr>
              <w:autoSpaceDE w:val="0"/>
              <w:autoSpaceDN w:val="0"/>
              <w:jc w:val="center"/>
              <w:rPr>
                <w:rFonts w:ascii="宋体" w:hAnsi="宋体" w:cs="宋体"/>
                <w:sz w:val="24"/>
                <w:szCs w:val="24"/>
              </w:rPr>
            </w:pPr>
          </w:p>
        </w:tc>
        <w:tc>
          <w:tcPr>
            <w:tcW w:w="982" w:type="pct"/>
            <w:tcBorders>
              <w:top w:val="single" w:color="auto" w:sz="6" w:space="0"/>
              <w:left w:val="single" w:color="auto" w:sz="6" w:space="0"/>
              <w:bottom w:val="single" w:color="auto" w:sz="6" w:space="0"/>
              <w:right w:val="single" w:color="auto" w:sz="6" w:space="0"/>
            </w:tcBorders>
            <w:noWrap w:val="0"/>
            <w:vAlign w:val="top"/>
          </w:tcPr>
          <w:p w14:paraId="130BB859">
            <w:pPr>
              <w:autoSpaceDE w:val="0"/>
              <w:autoSpaceDN w:val="0"/>
              <w:jc w:val="left"/>
              <w:rPr>
                <w:rFonts w:ascii="宋体" w:hAnsi="宋体" w:cs="宋体"/>
                <w:sz w:val="24"/>
                <w:szCs w:val="24"/>
              </w:rPr>
            </w:pPr>
          </w:p>
        </w:tc>
      </w:tr>
      <w:tr w14:paraId="1A2C9959">
        <w:tblPrEx>
          <w:tblCellMar>
            <w:top w:w="0" w:type="dxa"/>
            <w:left w:w="108" w:type="dxa"/>
            <w:bottom w:w="0" w:type="dxa"/>
            <w:right w:w="108" w:type="dxa"/>
          </w:tblCellMar>
        </w:tblPrEx>
        <w:trPr>
          <w:trHeight w:val="360" w:hRule="atLeast"/>
        </w:trPr>
        <w:tc>
          <w:tcPr>
            <w:tcW w:w="368" w:type="pct"/>
            <w:tcBorders>
              <w:top w:val="single" w:color="auto" w:sz="6" w:space="0"/>
              <w:left w:val="single" w:color="auto" w:sz="6" w:space="0"/>
              <w:bottom w:val="single" w:color="auto" w:sz="4" w:space="0"/>
              <w:right w:val="single" w:color="auto" w:sz="6" w:space="0"/>
            </w:tcBorders>
            <w:noWrap w:val="0"/>
            <w:vAlign w:val="top"/>
          </w:tcPr>
          <w:p w14:paraId="48EF9224">
            <w:pPr>
              <w:autoSpaceDE w:val="0"/>
              <w:autoSpaceDN w:val="0"/>
              <w:ind w:firstLine="240" w:firstLineChars="100"/>
              <w:jc w:val="left"/>
              <w:rPr>
                <w:rFonts w:ascii="宋体" w:hAnsi="宋体" w:cs="宋体"/>
                <w:color w:val="auto"/>
                <w:sz w:val="24"/>
                <w:szCs w:val="24"/>
              </w:rPr>
            </w:pPr>
            <w:r>
              <w:rPr>
                <w:rFonts w:hint="eastAsia" w:ascii="宋体" w:hAnsi="宋体" w:cs="宋体"/>
                <w:color w:val="auto"/>
                <w:sz w:val="24"/>
                <w:szCs w:val="24"/>
              </w:rPr>
              <w:t>2</w:t>
            </w:r>
          </w:p>
        </w:tc>
        <w:tc>
          <w:tcPr>
            <w:tcW w:w="2128" w:type="pct"/>
            <w:tcBorders>
              <w:top w:val="single" w:color="auto" w:sz="6" w:space="0"/>
              <w:left w:val="single" w:color="auto" w:sz="6" w:space="0"/>
              <w:bottom w:val="single" w:color="auto" w:sz="4" w:space="0"/>
              <w:right w:val="single" w:color="auto" w:sz="6" w:space="0"/>
            </w:tcBorders>
            <w:noWrap w:val="0"/>
            <w:vAlign w:val="top"/>
          </w:tcPr>
          <w:p w14:paraId="217D7093">
            <w:pPr>
              <w:autoSpaceDE w:val="0"/>
              <w:autoSpaceDN w:val="0"/>
              <w:jc w:val="left"/>
              <w:rPr>
                <w:rFonts w:ascii="宋体" w:hAnsi="宋体" w:cs="宋体"/>
                <w:color w:val="auto"/>
                <w:sz w:val="24"/>
                <w:szCs w:val="24"/>
              </w:rPr>
            </w:pPr>
            <w:r>
              <w:rPr>
                <w:rFonts w:hint="eastAsia" w:ascii="宋体" w:hAnsi="宋体" w:cs="宋体"/>
                <w:color w:val="auto"/>
                <w:sz w:val="24"/>
                <w:szCs w:val="24"/>
              </w:rPr>
              <w:t>政策性调整和材料价格风险</w:t>
            </w:r>
          </w:p>
        </w:tc>
        <w:tc>
          <w:tcPr>
            <w:tcW w:w="625" w:type="pct"/>
            <w:tcBorders>
              <w:top w:val="single" w:color="auto" w:sz="6" w:space="0"/>
              <w:left w:val="single" w:color="auto" w:sz="6" w:space="0"/>
              <w:bottom w:val="single" w:color="auto" w:sz="4" w:space="0"/>
              <w:right w:val="single" w:color="auto" w:sz="6" w:space="0"/>
            </w:tcBorders>
            <w:noWrap w:val="0"/>
            <w:vAlign w:val="top"/>
          </w:tcPr>
          <w:p w14:paraId="6D248251">
            <w:pPr>
              <w:autoSpaceDE w:val="0"/>
              <w:autoSpaceDN w:val="0"/>
              <w:ind w:firstLine="240" w:firstLineChars="100"/>
              <w:jc w:val="left"/>
              <w:rPr>
                <w:rFonts w:ascii="宋体" w:hAnsi="宋体" w:cs="宋体"/>
                <w:color w:val="auto"/>
                <w:sz w:val="24"/>
                <w:szCs w:val="24"/>
              </w:rPr>
            </w:pPr>
            <w:r>
              <w:rPr>
                <w:rFonts w:hint="eastAsia" w:ascii="宋体" w:hAnsi="宋体" w:cs="宋体"/>
                <w:color w:val="auto"/>
                <w:sz w:val="24"/>
                <w:szCs w:val="24"/>
              </w:rPr>
              <w:t>项</w:t>
            </w:r>
          </w:p>
        </w:tc>
        <w:tc>
          <w:tcPr>
            <w:tcW w:w="895" w:type="pct"/>
            <w:tcBorders>
              <w:top w:val="single" w:color="auto" w:sz="6" w:space="0"/>
              <w:left w:val="single" w:color="auto" w:sz="6" w:space="0"/>
              <w:bottom w:val="single" w:color="auto" w:sz="4" w:space="0"/>
              <w:right w:val="single" w:color="auto" w:sz="6" w:space="0"/>
            </w:tcBorders>
            <w:noWrap w:val="0"/>
            <w:vAlign w:val="top"/>
          </w:tcPr>
          <w:p w14:paraId="06C45699">
            <w:pPr>
              <w:autoSpaceDE w:val="0"/>
              <w:autoSpaceDN w:val="0"/>
              <w:jc w:val="center"/>
              <w:rPr>
                <w:rFonts w:ascii="宋体" w:hAnsi="宋体" w:cs="宋体"/>
                <w:color w:val="auto"/>
                <w:sz w:val="24"/>
                <w:szCs w:val="24"/>
              </w:rPr>
            </w:pPr>
          </w:p>
        </w:tc>
        <w:tc>
          <w:tcPr>
            <w:tcW w:w="982" w:type="pct"/>
            <w:tcBorders>
              <w:top w:val="single" w:color="auto" w:sz="6" w:space="0"/>
              <w:left w:val="single" w:color="auto" w:sz="6" w:space="0"/>
              <w:bottom w:val="single" w:color="auto" w:sz="4" w:space="0"/>
              <w:right w:val="single" w:color="auto" w:sz="6" w:space="0"/>
            </w:tcBorders>
            <w:noWrap w:val="0"/>
            <w:vAlign w:val="top"/>
          </w:tcPr>
          <w:p w14:paraId="4D75F2D9">
            <w:pPr>
              <w:autoSpaceDE w:val="0"/>
              <w:autoSpaceDN w:val="0"/>
              <w:jc w:val="left"/>
              <w:rPr>
                <w:rFonts w:ascii="宋体" w:hAnsi="宋体" w:cs="宋体"/>
                <w:color w:val="auto"/>
                <w:sz w:val="24"/>
                <w:szCs w:val="24"/>
              </w:rPr>
            </w:pPr>
          </w:p>
        </w:tc>
      </w:tr>
      <w:tr w14:paraId="442B845C">
        <w:tblPrEx>
          <w:tblCellMar>
            <w:top w:w="0" w:type="dxa"/>
            <w:left w:w="108" w:type="dxa"/>
            <w:bottom w:w="0" w:type="dxa"/>
            <w:right w:w="108" w:type="dxa"/>
          </w:tblCellMar>
        </w:tblPrEx>
        <w:trPr>
          <w:trHeight w:val="370" w:hRule="atLeast"/>
        </w:trPr>
        <w:tc>
          <w:tcPr>
            <w:tcW w:w="368" w:type="pct"/>
            <w:tcBorders>
              <w:top w:val="single" w:color="auto" w:sz="4" w:space="0"/>
              <w:left w:val="single" w:color="auto" w:sz="4" w:space="0"/>
              <w:bottom w:val="single" w:color="auto" w:sz="4" w:space="0"/>
              <w:right w:val="single" w:color="auto" w:sz="6" w:space="0"/>
            </w:tcBorders>
            <w:noWrap w:val="0"/>
            <w:vAlign w:val="top"/>
          </w:tcPr>
          <w:p w14:paraId="68E22F01">
            <w:pPr>
              <w:autoSpaceDE w:val="0"/>
              <w:autoSpaceDN w:val="0"/>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2128" w:type="pct"/>
            <w:tcBorders>
              <w:top w:val="single" w:color="auto" w:sz="4" w:space="0"/>
              <w:left w:val="single" w:color="auto" w:sz="6" w:space="0"/>
              <w:bottom w:val="single" w:color="auto" w:sz="4" w:space="0"/>
              <w:right w:val="single" w:color="auto" w:sz="6" w:space="0"/>
            </w:tcBorders>
            <w:noWrap w:val="0"/>
            <w:vAlign w:val="top"/>
          </w:tcPr>
          <w:p w14:paraId="23A16CCB">
            <w:pPr>
              <w:autoSpaceDE w:val="0"/>
              <w:autoSpaceDN w:val="0"/>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预留金</w:t>
            </w:r>
          </w:p>
        </w:tc>
        <w:tc>
          <w:tcPr>
            <w:tcW w:w="625" w:type="pct"/>
            <w:tcBorders>
              <w:top w:val="single" w:color="auto" w:sz="4" w:space="0"/>
              <w:left w:val="single" w:color="auto" w:sz="6" w:space="0"/>
              <w:bottom w:val="single" w:color="auto" w:sz="4" w:space="0"/>
              <w:right w:val="single" w:color="auto" w:sz="6" w:space="0"/>
            </w:tcBorders>
            <w:noWrap w:val="0"/>
            <w:vAlign w:val="top"/>
          </w:tcPr>
          <w:p w14:paraId="39B7EB53">
            <w:pPr>
              <w:autoSpaceDE w:val="0"/>
              <w:autoSpaceDN w:val="0"/>
              <w:ind w:firstLine="240" w:firstLineChars="100"/>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元</w:t>
            </w:r>
          </w:p>
        </w:tc>
        <w:tc>
          <w:tcPr>
            <w:tcW w:w="895" w:type="pct"/>
            <w:tcBorders>
              <w:top w:val="single" w:color="auto" w:sz="4" w:space="0"/>
              <w:left w:val="single" w:color="auto" w:sz="6" w:space="0"/>
              <w:bottom w:val="single" w:color="auto" w:sz="4" w:space="0"/>
              <w:right w:val="single" w:color="auto" w:sz="6" w:space="0"/>
            </w:tcBorders>
            <w:noWrap w:val="0"/>
            <w:vAlign w:val="top"/>
          </w:tcPr>
          <w:p w14:paraId="6EC30102">
            <w:pPr>
              <w:autoSpaceDE w:val="0"/>
              <w:autoSpaceDN w:val="0"/>
              <w:jc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50000</w:t>
            </w:r>
          </w:p>
        </w:tc>
        <w:tc>
          <w:tcPr>
            <w:tcW w:w="982" w:type="pct"/>
            <w:tcBorders>
              <w:top w:val="single" w:color="auto" w:sz="4" w:space="0"/>
              <w:left w:val="single" w:color="auto" w:sz="6" w:space="0"/>
              <w:bottom w:val="single" w:color="auto" w:sz="4" w:space="0"/>
              <w:right w:val="single" w:color="auto" w:sz="4" w:space="0"/>
            </w:tcBorders>
            <w:noWrap w:val="0"/>
            <w:vAlign w:val="center"/>
          </w:tcPr>
          <w:p w14:paraId="519C6A2D">
            <w:pPr>
              <w:autoSpaceDE w:val="0"/>
              <w:autoSpaceDN w:val="0"/>
              <w:jc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其它房屋土建维修工程</w:t>
            </w:r>
          </w:p>
        </w:tc>
      </w:tr>
    </w:tbl>
    <w:p w14:paraId="2984A063">
      <w:pPr>
        <w:pStyle w:val="17"/>
        <w:numPr>
          <w:ilvl w:val="0"/>
          <w:numId w:val="0"/>
        </w:numPr>
        <w:autoSpaceDE w:val="0"/>
        <w:autoSpaceDN w:val="0"/>
        <w:adjustRightInd w:val="0"/>
        <w:spacing w:line="500" w:lineRule="exact"/>
        <w:ind w:leftChars="0"/>
        <w:jc w:val="left"/>
        <w:rPr>
          <w:rFonts w:ascii="宋体" w:hAnsi="宋体"/>
          <w:b/>
          <w:bCs/>
          <w:sz w:val="24"/>
        </w:rPr>
      </w:pPr>
      <w:r>
        <w:rPr>
          <w:rFonts w:hint="eastAsia" w:ascii="宋体" w:hAnsi="宋体"/>
          <w:b/>
          <w:bCs/>
          <w:sz w:val="24"/>
          <w:lang w:val="en-US" w:eastAsia="zh-CN"/>
        </w:rPr>
        <w:t>十、</w:t>
      </w:r>
      <w:r>
        <w:rPr>
          <w:rFonts w:hint="eastAsia" w:ascii="宋体" w:hAnsi="宋体"/>
          <w:b/>
          <w:bCs/>
          <w:sz w:val="24"/>
        </w:rPr>
        <w:t>主要设备材料参考品牌详见下表，</w:t>
      </w:r>
      <w:r>
        <w:rPr>
          <w:rFonts w:ascii="宋体" w:hAnsi="宋体"/>
          <w:b/>
          <w:bCs/>
          <w:sz w:val="24"/>
        </w:rPr>
        <w:t>实际使用的品牌不得</w:t>
      </w:r>
      <w:r>
        <w:rPr>
          <w:rFonts w:hint="eastAsia" w:ascii="宋体" w:hAnsi="宋体"/>
          <w:b/>
          <w:bCs/>
          <w:sz w:val="24"/>
        </w:rPr>
        <w:t>低于</w:t>
      </w:r>
      <w:r>
        <w:rPr>
          <w:rFonts w:ascii="宋体" w:hAnsi="宋体"/>
          <w:b/>
          <w:bCs/>
          <w:sz w:val="24"/>
        </w:rPr>
        <w:t>参考品牌：</w:t>
      </w:r>
    </w:p>
    <w:tbl>
      <w:tblPr>
        <w:tblStyle w:val="10"/>
        <w:tblW w:w="9212" w:type="dxa"/>
        <w:tblInd w:w="250" w:type="dxa"/>
        <w:tblLayout w:type="fixed"/>
        <w:tblCellMar>
          <w:top w:w="0" w:type="dxa"/>
          <w:left w:w="108" w:type="dxa"/>
          <w:bottom w:w="0" w:type="dxa"/>
          <w:right w:w="108" w:type="dxa"/>
        </w:tblCellMar>
      </w:tblPr>
      <w:tblGrid>
        <w:gridCol w:w="962"/>
        <w:gridCol w:w="2357"/>
        <w:gridCol w:w="2351"/>
        <w:gridCol w:w="3542"/>
      </w:tblGrid>
      <w:tr w14:paraId="46A35804">
        <w:tblPrEx>
          <w:tblCellMar>
            <w:top w:w="0" w:type="dxa"/>
            <w:left w:w="108" w:type="dxa"/>
            <w:bottom w:w="0" w:type="dxa"/>
            <w:right w:w="108" w:type="dxa"/>
          </w:tblCellMar>
        </w:tblPrEx>
        <w:trPr>
          <w:trHeight w:val="540" w:hRule="atLeast"/>
        </w:trPr>
        <w:tc>
          <w:tcPr>
            <w:tcW w:w="962" w:type="dxa"/>
            <w:tcBorders>
              <w:top w:val="single" w:color="auto" w:sz="4" w:space="0"/>
              <w:left w:val="single" w:color="auto" w:sz="4" w:space="0"/>
              <w:bottom w:val="single" w:color="auto" w:sz="4" w:space="0"/>
              <w:right w:val="single" w:color="auto" w:sz="4" w:space="0"/>
            </w:tcBorders>
            <w:noWrap/>
            <w:vAlign w:val="center"/>
          </w:tcPr>
          <w:p w14:paraId="11C5EC49">
            <w:pPr>
              <w:jc w:val="center"/>
              <w:rPr>
                <w:rFonts w:ascii="宋体" w:hAnsi="宋体" w:cs="宋体"/>
                <w:b/>
                <w:bCs/>
                <w:szCs w:val="21"/>
              </w:rPr>
            </w:pPr>
            <w:r>
              <w:rPr>
                <w:rFonts w:hint="eastAsia" w:ascii="宋体" w:hAnsi="宋体"/>
                <w:b/>
              </w:rPr>
              <w:t xml:space="preserve"> </w:t>
            </w:r>
            <w:r>
              <w:rPr>
                <w:rFonts w:hint="eastAsia" w:ascii="宋体" w:hAnsi="宋体" w:cs="宋体"/>
                <w:b/>
                <w:bCs/>
                <w:szCs w:val="21"/>
              </w:rPr>
              <w:t>序号</w:t>
            </w:r>
          </w:p>
        </w:tc>
        <w:tc>
          <w:tcPr>
            <w:tcW w:w="2357" w:type="dxa"/>
            <w:tcBorders>
              <w:top w:val="single" w:color="auto" w:sz="4" w:space="0"/>
              <w:left w:val="nil"/>
              <w:bottom w:val="single" w:color="auto" w:sz="4" w:space="0"/>
              <w:right w:val="single" w:color="auto" w:sz="4" w:space="0"/>
            </w:tcBorders>
            <w:noWrap/>
            <w:vAlign w:val="center"/>
          </w:tcPr>
          <w:p w14:paraId="7438C65C">
            <w:pPr>
              <w:jc w:val="center"/>
              <w:rPr>
                <w:rFonts w:ascii="宋体" w:hAnsi="宋体" w:cs="宋体"/>
                <w:b/>
                <w:bCs/>
                <w:szCs w:val="21"/>
              </w:rPr>
            </w:pPr>
            <w:r>
              <w:rPr>
                <w:rFonts w:hint="eastAsia" w:ascii="宋体" w:hAnsi="宋体" w:cs="宋体"/>
                <w:b/>
                <w:bCs/>
                <w:szCs w:val="21"/>
              </w:rPr>
              <w:t>材料或设备名称</w:t>
            </w:r>
          </w:p>
        </w:tc>
        <w:tc>
          <w:tcPr>
            <w:tcW w:w="2351" w:type="dxa"/>
            <w:tcBorders>
              <w:top w:val="single" w:color="auto" w:sz="4" w:space="0"/>
              <w:left w:val="nil"/>
              <w:bottom w:val="single" w:color="auto" w:sz="4" w:space="0"/>
              <w:right w:val="single" w:color="auto" w:sz="4" w:space="0"/>
            </w:tcBorders>
            <w:noWrap/>
            <w:vAlign w:val="center"/>
          </w:tcPr>
          <w:p w14:paraId="4672A4EC">
            <w:pPr>
              <w:jc w:val="center"/>
              <w:rPr>
                <w:rFonts w:ascii="宋体" w:hAnsi="宋体" w:cs="宋体"/>
                <w:b/>
                <w:bCs/>
                <w:szCs w:val="21"/>
              </w:rPr>
            </w:pPr>
            <w:r>
              <w:rPr>
                <w:rFonts w:hint="eastAsia" w:ascii="宋体" w:hAnsi="宋体" w:cs="宋体"/>
                <w:b/>
                <w:bCs/>
                <w:szCs w:val="21"/>
              </w:rPr>
              <w:t>规格型号、技术参数等</w:t>
            </w:r>
          </w:p>
        </w:tc>
        <w:tc>
          <w:tcPr>
            <w:tcW w:w="3542" w:type="dxa"/>
            <w:tcBorders>
              <w:top w:val="single" w:color="auto" w:sz="4" w:space="0"/>
              <w:left w:val="nil"/>
              <w:bottom w:val="single" w:color="auto" w:sz="4" w:space="0"/>
              <w:right w:val="single" w:color="auto" w:sz="4" w:space="0"/>
            </w:tcBorders>
            <w:noWrap/>
            <w:vAlign w:val="center"/>
          </w:tcPr>
          <w:p w14:paraId="6EAF9483">
            <w:pPr>
              <w:jc w:val="center"/>
              <w:rPr>
                <w:rFonts w:ascii="宋体" w:hAnsi="宋体" w:cs="宋体"/>
                <w:b/>
                <w:bCs/>
                <w:szCs w:val="21"/>
              </w:rPr>
            </w:pPr>
            <w:r>
              <w:rPr>
                <w:rFonts w:hint="eastAsia" w:ascii="宋体" w:hAnsi="宋体" w:cs="宋体"/>
                <w:b/>
                <w:bCs/>
                <w:szCs w:val="21"/>
              </w:rPr>
              <w:t>推荐品牌（施工时三选一进行使用）</w:t>
            </w:r>
          </w:p>
        </w:tc>
      </w:tr>
      <w:tr w14:paraId="4045C207">
        <w:tblPrEx>
          <w:tblCellMar>
            <w:top w:w="0" w:type="dxa"/>
            <w:left w:w="108" w:type="dxa"/>
            <w:bottom w:w="0" w:type="dxa"/>
            <w:right w:w="108" w:type="dxa"/>
          </w:tblCellMar>
        </w:tblPrEx>
        <w:trPr>
          <w:trHeight w:val="540" w:hRule="atLeast"/>
        </w:trPr>
        <w:tc>
          <w:tcPr>
            <w:tcW w:w="962" w:type="dxa"/>
            <w:tcBorders>
              <w:top w:val="single" w:color="auto" w:sz="4" w:space="0"/>
              <w:left w:val="single" w:color="auto" w:sz="4" w:space="0"/>
              <w:bottom w:val="single" w:color="auto" w:sz="4" w:space="0"/>
              <w:right w:val="single" w:color="auto" w:sz="4" w:space="0"/>
            </w:tcBorders>
            <w:noWrap/>
            <w:vAlign w:val="center"/>
          </w:tcPr>
          <w:p w14:paraId="6F24A68B">
            <w:pPr>
              <w:jc w:val="center"/>
              <w:rPr>
                <w:rFonts w:ascii="宋体" w:hAnsi="宋体" w:cs="宋体"/>
                <w:szCs w:val="21"/>
              </w:rPr>
            </w:pPr>
            <w:r>
              <w:rPr>
                <w:rFonts w:hint="eastAsia" w:ascii="宋体" w:hAnsi="宋体" w:cs="宋体"/>
                <w:szCs w:val="21"/>
              </w:rPr>
              <w:t>一</w:t>
            </w:r>
          </w:p>
        </w:tc>
        <w:tc>
          <w:tcPr>
            <w:tcW w:w="8250" w:type="dxa"/>
            <w:gridSpan w:val="3"/>
            <w:tcBorders>
              <w:top w:val="single" w:color="auto" w:sz="4" w:space="0"/>
              <w:left w:val="single" w:color="auto" w:sz="4" w:space="0"/>
              <w:bottom w:val="single" w:color="auto" w:sz="4" w:space="0"/>
              <w:right w:val="single" w:color="auto" w:sz="4" w:space="0"/>
            </w:tcBorders>
            <w:noWrap/>
            <w:vAlign w:val="center"/>
          </w:tcPr>
          <w:p w14:paraId="7CC81B8E">
            <w:pPr>
              <w:rPr>
                <w:rFonts w:ascii="宋体" w:hAnsi="宋体" w:cs="宋体"/>
                <w:b/>
                <w:bCs/>
                <w:szCs w:val="21"/>
              </w:rPr>
            </w:pPr>
            <w:r>
              <w:rPr>
                <w:rFonts w:hint="eastAsia" w:ascii="宋体" w:hAnsi="宋体" w:cs="宋体"/>
                <w:b/>
                <w:bCs/>
                <w:szCs w:val="21"/>
              </w:rPr>
              <w:t>装修</w:t>
            </w:r>
          </w:p>
        </w:tc>
      </w:tr>
      <w:tr w14:paraId="73C2A3E0">
        <w:tblPrEx>
          <w:tblCellMar>
            <w:top w:w="0" w:type="dxa"/>
            <w:left w:w="108" w:type="dxa"/>
            <w:bottom w:w="0" w:type="dxa"/>
            <w:right w:w="108" w:type="dxa"/>
          </w:tblCellMar>
        </w:tblPrEx>
        <w:trPr>
          <w:trHeight w:val="333" w:hRule="atLeast"/>
        </w:trPr>
        <w:tc>
          <w:tcPr>
            <w:tcW w:w="962" w:type="dxa"/>
            <w:tcBorders>
              <w:top w:val="single" w:color="auto" w:sz="4" w:space="0"/>
              <w:left w:val="single" w:color="auto" w:sz="4" w:space="0"/>
              <w:bottom w:val="single" w:color="auto" w:sz="4" w:space="0"/>
              <w:right w:val="single" w:color="auto" w:sz="4" w:space="0"/>
            </w:tcBorders>
            <w:noWrap/>
            <w:vAlign w:val="center"/>
          </w:tcPr>
          <w:p w14:paraId="04D9C814">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357" w:type="dxa"/>
            <w:tcBorders>
              <w:top w:val="single" w:color="auto" w:sz="4" w:space="0"/>
              <w:left w:val="single" w:color="auto" w:sz="4" w:space="0"/>
              <w:bottom w:val="single" w:color="auto" w:sz="4" w:space="0"/>
              <w:right w:val="single" w:color="auto" w:sz="4" w:space="0"/>
            </w:tcBorders>
            <w:noWrap/>
            <w:vAlign w:val="center"/>
          </w:tcPr>
          <w:p w14:paraId="656EB826">
            <w:pPr>
              <w:rPr>
                <w:rFonts w:hint="eastAsia" w:ascii="宋体" w:hAnsi="宋体" w:eastAsia="宋体" w:cs="宋体"/>
                <w:sz w:val="24"/>
                <w:szCs w:val="24"/>
              </w:rPr>
            </w:pPr>
            <w:r>
              <w:rPr>
                <w:rFonts w:hint="eastAsia" w:ascii="宋体" w:hAnsi="宋体" w:eastAsia="宋体" w:cs="宋体"/>
                <w:sz w:val="24"/>
                <w:szCs w:val="24"/>
              </w:rPr>
              <w:t>墙地砖</w:t>
            </w:r>
          </w:p>
        </w:tc>
        <w:tc>
          <w:tcPr>
            <w:tcW w:w="2351" w:type="dxa"/>
            <w:tcBorders>
              <w:top w:val="single" w:color="auto" w:sz="4" w:space="0"/>
              <w:left w:val="single" w:color="auto" w:sz="4" w:space="0"/>
              <w:bottom w:val="single" w:color="auto" w:sz="4" w:space="0"/>
              <w:right w:val="single" w:color="auto" w:sz="4" w:space="0"/>
            </w:tcBorders>
            <w:noWrap/>
            <w:vAlign w:val="center"/>
          </w:tcPr>
          <w:p w14:paraId="5FD9D19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800*800*10Ａ级、600*600*10Ａ级、300*600*10Ａ级</w:t>
            </w:r>
          </w:p>
        </w:tc>
        <w:tc>
          <w:tcPr>
            <w:tcW w:w="3542" w:type="dxa"/>
            <w:tcBorders>
              <w:top w:val="single" w:color="auto" w:sz="4" w:space="0"/>
              <w:left w:val="single" w:color="auto" w:sz="4" w:space="0"/>
              <w:bottom w:val="single" w:color="auto" w:sz="4" w:space="0"/>
              <w:right w:val="single" w:color="auto" w:sz="4" w:space="0"/>
            </w:tcBorders>
            <w:noWrap/>
            <w:vAlign w:val="center"/>
          </w:tcPr>
          <w:p w14:paraId="0DE77622">
            <w:pPr>
              <w:jc w:val="center"/>
              <w:rPr>
                <w:rFonts w:hint="eastAsia" w:ascii="宋体" w:hAnsi="宋体" w:eastAsia="宋体" w:cs="宋体"/>
                <w:sz w:val="24"/>
                <w:szCs w:val="24"/>
                <w:lang w:eastAsia="zh-CN"/>
              </w:rPr>
            </w:pPr>
            <w:r>
              <w:rPr>
                <w:rFonts w:hint="eastAsia" w:ascii="宋体" w:hAnsi="宋体" w:eastAsia="宋体" w:cs="宋体"/>
                <w:color w:val="000000"/>
                <w:kern w:val="0"/>
                <w:sz w:val="24"/>
                <w:szCs w:val="24"/>
              </w:rPr>
              <w:t>长安、艾里斯顿、乐百惠</w:t>
            </w:r>
          </w:p>
        </w:tc>
      </w:tr>
      <w:tr w14:paraId="4C5F10AF">
        <w:tblPrEx>
          <w:tblCellMar>
            <w:top w:w="0" w:type="dxa"/>
            <w:left w:w="108" w:type="dxa"/>
            <w:bottom w:w="0" w:type="dxa"/>
            <w:right w:w="108" w:type="dxa"/>
          </w:tblCellMar>
        </w:tblPrEx>
        <w:trPr>
          <w:trHeight w:val="392"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335AA5B5">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357" w:type="dxa"/>
            <w:tcBorders>
              <w:top w:val="single" w:color="auto" w:sz="4" w:space="0"/>
              <w:left w:val="single" w:color="auto" w:sz="4" w:space="0"/>
              <w:bottom w:val="single" w:color="auto" w:sz="4" w:space="0"/>
              <w:right w:val="single" w:color="auto" w:sz="4" w:space="0"/>
            </w:tcBorders>
            <w:noWrap/>
            <w:vAlign w:val="center"/>
          </w:tcPr>
          <w:p w14:paraId="50C0D568">
            <w:pPr>
              <w:rPr>
                <w:rFonts w:hint="eastAsia" w:ascii="宋体" w:hAnsi="宋体" w:eastAsia="宋体" w:cs="宋体"/>
                <w:sz w:val="24"/>
                <w:szCs w:val="24"/>
              </w:rPr>
            </w:pPr>
            <w:r>
              <w:rPr>
                <w:rFonts w:hint="eastAsia" w:ascii="宋体" w:hAnsi="宋体" w:eastAsia="宋体" w:cs="宋体"/>
                <w:sz w:val="24"/>
                <w:szCs w:val="24"/>
              </w:rPr>
              <w:t>石膏板</w:t>
            </w:r>
          </w:p>
        </w:tc>
        <w:tc>
          <w:tcPr>
            <w:tcW w:w="2351" w:type="dxa"/>
            <w:tcBorders>
              <w:top w:val="single" w:color="auto" w:sz="4" w:space="0"/>
              <w:left w:val="single" w:color="auto" w:sz="4" w:space="0"/>
              <w:bottom w:val="single" w:color="auto" w:sz="4" w:space="0"/>
              <w:right w:val="single" w:color="auto" w:sz="4" w:space="0"/>
            </w:tcBorders>
            <w:noWrap/>
            <w:vAlign w:val="center"/>
          </w:tcPr>
          <w:p w14:paraId="24F3BBB3">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1200*3000*9.5</w:t>
            </w:r>
          </w:p>
        </w:tc>
        <w:tc>
          <w:tcPr>
            <w:tcW w:w="3542" w:type="dxa"/>
            <w:tcBorders>
              <w:top w:val="single" w:color="auto" w:sz="4" w:space="0"/>
              <w:left w:val="single" w:color="auto" w:sz="4" w:space="0"/>
              <w:bottom w:val="single" w:color="auto" w:sz="4" w:space="0"/>
              <w:right w:val="single" w:color="auto" w:sz="4" w:space="0"/>
            </w:tcBorders>
            <w:noWrap/>
            <w:vAlign w:val="center"/>
          </w:tcPr>
          <w:p w14:paraId="50EC1ED7">
            <w:pPr>
              <w:jc w:val="center"/>
              <w:rPr>
                <w:rFonts w:hint="eastAsia" w:ascii="宋体" w:hAnsi="宋体" w:eastAsia="宋体" w:cs="宋体"/>
                <w:sz w:val="24"/>
                <w:szCs w:val="24"/>
              </w:rPr>
            </w:pPr>
            <w:r>
              <w:rPr>
                <w:rFonts w:hint="eastAsia" w:ascii="宋体" w:hAnsi="宋体" w:eastAsia="宋体" w:cs="宋体"/>
                <w:sz w:val="24"/>
                <w:szCs w:val="24"/>
              </w:rPr>
              <w:t>龙牌、泰山、可耐福</w:t>
            </w:r>
          </w:p>
        </w:tc>
      </w:tr>
      <w:tr w14:paraId="3EFC60D8">
        <w:tblPrEx>
          <w:tblCellMar>
            <w:top w:w="0" w:type="dxa"/>
            <w:left w:w="108" w:type="dxa"/>
            <w:bottom w:w="0" w:type="dxa"/>
            <w:right w:w="108" w:type="dxa"/>
          </w:tblCellMar>
        </w:tblPrEx>
        <w:trPr>
          <w:trHeight w:val="381"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318863A5">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357" w:type="dxa"/>
            <w:tcBorders>
              <w:top w:val="single" w:color="auto" w:sz="4" w:space="0"/>
              <w:left w:val="single" w:color="auto" w:sz="4" w:space="0"/>
              <w:bottom w:val="single" w:color="auto" w:sz="4" w:space="0"/>
              <w:right w:val="single" w:color="auto" w:sz="4" w:space="0"/>
            </w:tcBorders>
            <w:noWrap/>
            <w:vAlign w:val="center"/>
          </w:tcPr>
          <w:p w14:paraId="644A767D">
            <w:pPr>
              <w:rPr>
                <w:rFonts w:hint="eastAsia" w:ascii="宋体" w:hAnsi="宋体" w:eastAsia="宋体" w:cs="宋体"/>
                <w:sz w:val="24"/>
                <w:szCs w:val="24"/>
                <w:lang w:eastAsia="zh-CN"/>
              </w:rPr>
            </w:pPr>
            <w:r>
              <w:rPr>
                <w:rFonts w:hint="eastAsia" w:ascii="宋体" w:hAnsi="宋体" w:eastAsia="宋体" w:cs="宋体"/>
                <w:sz w:val="24"/>
                <w:szCs w:val="24"/>
                <w:lang w:eastAsia="zh-CN"/>
              </w:rPr>
              <w:t>阻燃多层板</w:t>
            </w:r>
          </w:p>
        </w:tc>
        <w:tc>
          <w:tcPr>
            <w:tcW w:w="2351" w:type="dxa"/>
            <w:tcBorders>
              <w:top w:val="single" w:color="auto" w:sz="4" w:space="0"/>
              <w:left w:val="single" w:color="auto" w:sz="4" w:space="0"/>
              <w:bottom w:val="single" w:color="auto" w:sz="4" w:space="0"/>
              <w:right w:val="single" w:color="auto" w:sz="4" w:space="0"/>
            </w:tcBorders>
            <w:noWrap/>
            <w:vAlign w:val="center"/>
          </w:tcPr>
          <w:p w14:paraId="3E251FBD">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阻燃Ｂ</w:t>
            </w:r>
            <w:r>
              <w:rPr>
                <w:rFonts w:hint="eastAsia" w:ascii="宋体" w:hAnsi="宋体" w:eastAsia="宋体" w:cs="宋体"/>
                <w:sz w:val="24"/>
                <w:szCs w:val="24"/>
                <w:lang w:val="en-US" w:eastAsia="zh-CN"/>
              </w:rPr>
              <w:t>1级</w:t>
            </w:r>
          </w:p>
        </w:tc>
        <w:tc>
          <w:tcPr>
            <w:tcW w:w="3542" w:type="dxa"/>
            <w:tcBorders>
              <w:top w:val="single" w:color="auto" w:sz="4" w:space="0"/>
              <w:left w:val="single" w:color="auto" w:sz="4" w:space="0"/>
              <w:bottom w:val="single" w:color="auto" w:sz="4" w:space="0"/>
              <w:right w:val="single" w:color="auto" w:sz="4" w:space="0"/>
            </w:tcBorders>
            <w:noWrap/>
            <w:vAlign w:val="center"/>
          </w:tcPr>
          <w:p w14:paraId="6B40F642">
            <w:pPr>
              <w:jc w:val="center"/>
              <w:rPr>
                <w:rFonts w:hint="eastAsia" w:ascii="宋体" w:hAnsi="宋体" w:eastAsia="宋体" w:cs="宋体"/>
                <w:sz w:val="24"/>
                <w:szCs w:val="24"/>
                <w:lang w:eastAsia="zh-CN"/>
              </w:rPr>
            </w:pPr>
            <w:r>
              <w:rPr>
                <w:rFonts w:hint="eastAsia" w:ascii="宋体" w:hAnsi="宋体" w:eastAsia="宋体" w:cs="宋体"/>
                <w:sz w:val="24"/>
                <w:szCs w:val="24"/>
              </w:rPr>
              <w:t>福牌、千山、地球</w:t>
            </w:r>
          </w:p>
        </w:tc>
      </w:tr>
      <w:tr w14:paraId="0BF75AD7">
        <w:tblPrEx>
          <w:tblCellMar>
            <w:top w:w="0" w:type="dxa"/>
            <w:left w:w="108" w:type="dxa"/>
            <w:bottom w:w="0" w:type="dxa"/>
            <w:right w:w="108" w:type="dxa"/>
          </w:tblCellMar>
        </w:tblPrEx>
        <w:trPr>
          <w:trHeight w:val="381"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7E36472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357" w:type="dxa"/>
            <w:tcBorders>
              <w:top w:val="single" w:color="auto" w:sz="4" w:space="0"/>
              <w:left w:val="single" w:color="auto" w:sz="4" w:space="0"/>
              <w:bottom w:val="single" w:color="auto" w:sz="4" w:space="0"/>
              <w:right w:val="single" w:color="auto" w:sz="4" w:space="0"/>
            </w:tcBorders>
            <w:noWrap/>
            <w:vAlign w:val="center"/>
          </w:tcPr>
          <w:p w14:paraId="2038ACB5">
            <w:pPr>
              <w:rPr>
                <w:rFonts w:hint="eastAsia" w:ascii="宋体" w:hAnsi="宋体" w:eastAsia="宋体" w:cs="宋体"/>
                <w:sz w:val="24"/>
                <w:szCs w:val="24"/>
                <w:lang w:eastAsia="zh-CN"/>
              </w:rPr>
            </w:pPr>
            <w:r>
              <w:rPr>
                <w:rFonts w:hint="eastAsia" w:ascii="宋体" w:hAnsi="宋体" w:eastAsia="宋体" w:cs="宋体"/>
                <w:sz w:val="24"/>
                <w:szCs w:val="24"/>
                <w:lang w:eastAsia="zh-CN"/>
              </w:rPr>
              <w:t>门锁</w:t>
            </w:r>
          </w:p>
        </w:tc>
        <w:tc>
          <w:tcPr>
            <w:tcW w:w="2351" w:type="dxa"/>
            <w:tcBorders>
              <w:top w:val="single" w:color="auto" w:sz="4" w:space="0"/>
              <w:left w:val="single" w:color="auto" w:sz="4" w:space="0"/>
              <w:bottom w:val="single" w:color="auto" w:sz="4" w:space="0"/>
              <w:right w:val="single" w:color="auto" w:sz="4" w:space="0"/>
            </w:tcBorders>
            <w:noWrap/>
            <w:vAlign w:val="center"/>
          </w:tcPr>
          <w:p w14:paraId="74E232DF">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3D923569">
            <w:pPr>
              <w:jc w:val="center"/>
              <w:rPr>
                <w:rFonts w:hint="eastAsia" w:ascii="宋体" w:hAnsi="宋体" w:eastAsia="宋体" w:cs="宋体"/>
                <w:sz w:val="24"/>
                <w:szCs w:val="24"/>
              </w:rPr>
            </w:pPr>
            <w:r>
              <w:rPr>
                <w:rFonts w:hint="eastAsia" w:ascii="宋体" w:hAnsi="宋体" w:eastAsia="宋体" w:cs="宋体"/>
                <w:sz w:val="24"/>
                <w:szCs w:val="24"/>
                <w:lang w:val="en-US" w:eastAsia="zh-CN"/>
              </w:rPr>
              <w:t>坚朗、立兴、合和、固特</w:t>
            </w:r>
          </w:p>
        </w:tc>
      </w:tr>
      <w:tr w14:paraId="42D3750B">
        <w:tblPrEx>
          <w:tblCellMar>
            <w:top w:w="0" w:type="dxa"/>
            <w:left w:w="108" w:type="dxa"/>
            <w:bottom w:w="0" w:type="dxa"/>
            <w:right w:w="108" w:type="dxa"/>
          </w:tblCellMar>
        </w:tblPrEx>
        <w:trPr>
          <w:trHeight w:val="381"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02A50A2">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357" w:type="dxa"/>
            <w:tcBorders>
              <w:top w:val="single" w:color="auto" w:sz="4" w:space="0"/>
              <w:left w:val="single" w:color="auto" w:sz="4" w:space="0"/>
              <w:bottom w:val="single" w:color="auto" w:sz="4" w:space="0"/>
              <w:right w:val="single" w:color="auto" w:sz="4" w:space="0"/>
            </w:tcBorders>
            <w:noWrap/>
            <w:vAlign w:val="center"/>
          </w:tcPr>
          <w:p w14:paraId="4ED665CA">
            <w:pPr>
              <w:rPr>
                <w:rFonts w:hint="eastAsia" w:ascii="宋体" w:hAnsi="宋体" w:eastAsia="宋体" w:cs="宋体"/>
                <w:sz w:val="24"/>
                <w:szCs w:val="24"/>
                <w:lang w:eastAsia="zh-CN"/>
              </w:rPr>
            </w:pPr>
            <w:r>
              <w:rPr>
                <w:rFonts w:hint="eastAsia" w:ascii="宋体" w:hAnsi="宋体" w:eastAsia="宋体" w:cs="宋体"/>
                <w:sz w:val="24"/>
                <w:szCs w:val="24"/>
                <w:lang w:eastAsia="zh-CN"/>
              </w:rPr>
              <w:t>木门</w:t>
            </w:r>
          </w:p>
        </w:tc>
        <w:tc>
          <w:tcPr>
            <w:tcW w:w="2351" w:type="dxa"/>
            <w:tcBorders>
              <w:top w:val="single" w:color="auto" w:sz="4" w:space="0"/>
              <w:left w:val="single" w:color="auto" w:sz="4" w:space="0"/>
              <w:bottom w:val="single" w:color="auto" w:sz="4" w:space="0"/>
              <w:right w:val="single" w:color="auto" w:sz="4" w:space="0"/>
            </w:tcBorders>
            <w:noWrap/>
            <w:vAlign w:val="center"/>
          </w:tcPr>
          <w:p w14:paraId="3F9BF7E1">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1363AA98">
            <w:pPr>
              <w:jc w:val="center"/>
              <w:rPr>
                <w:rFonts w:hint="eastAsia" w:ascii="宋体" w:hAnsi="宋体" w:eastAsia="宋体" w:cs="宋体"/>
                <w:sz w:val="24"/>
                <w:szCs w:val="24"/>
                <w:lang w:val="en-US" w:eastAsia="zh-CN"/>
              </w:rPr>
            </w:pPr>
            <w:r>
              <w:rPr>
                <w:rFonts w:hint="eastAsia" w:ascii="宋体" w:hAnsi="宋体" w:eastAsia="宋体" w:cs="宋体"/>
                <w:sz w:val="24"/>
                <w:szCs w:val="24"/>
              </w:rPr>
              <w:t>卓建木业、源木至家、莫干山</w:t>
            </w:r>
          </w:p>
        </w:tc>
      </w:tr>
      <w:tr w14:paraId="64B2AE7A">
        <w:tblPrEx>
          <w:tblCellMar>
            <w:top w:w="0" w:type="dxa"/>
            <w:left w:w="108" w:type="dxa"/>
            <w:bottom w:w="0" w:type="dxa"/>
            <w:right w:w="108" w:type="dxa"/>
          </w:tblCellMar>
        </w:tblPrEx>
        <w:trPr>
          <w:trHeight w:val="381"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006D8E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357" w:type="dxa"/>
            <w:tcBorders>
              <w:top w:val="single" w:color="auto" w:sz="4" w:space="0"/>
              <w:left w:val="single" w:color="auto" w:sz="4" w:space="0"/>
              <w:bottom w:val="single" w:color="auto" w:sz="4" w:space="0"/>
              <w:right w:val="single" w:color="auto" w:sz="4" w:space="0"/>
            </w:tcBorders>
            <w:noWrap/>
            <w:vAlign w:val="center"/>
          </w:tcPr>
          <w:p w14:paraId="5A4C45D8">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PVC地胶</w:t>
            </w:r>
          </w:p>
        </w:tc>
        <w:tc>
          <w:tcPr>
            <w:tcW w:w="2351" w:type="dxa"/>
            <w:tcBorders>
              <w:top w:val="single" w:color="auto" w:sz="4" w:space="0"/>
              <w:left w:val="single" w:color="auto" w:sz="4" w:space="0"/>
              <w:bottom w:val="single" w:color="auto" w:sz="4" w:space="0"/>
              <w:right w:val="single" w:color="auto" w:sz="4" w:space="0"/>
            </w:tcBorders>
            <w:noWrap/>
            <w:vAlign w:val="center"/>
          </w:tcPr>
          <w:p w14:paraId="731C2EFC">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49A9B2FE">
            <w:pPr>
              <w:jc w:val="center"/>
              <w:rPr>
                <w:rFonts w:hint="eastAsia" w:ascii="宋体" w:hAnsi="宋体" w:eastAsia="宋体" w:cs="宋体"/>
                <w:sz w:val="24"/>
                <w:szCs w:val="24"/>
              </w:rPr>
            </w:pPr>
            <w:r>
              <w:rPr>
                <w:rFonts w:hint="eastAsia" w:ascii="宋体" w:hAnsi="宋体" w:eastAsia="宋体" w:cs="宋体"/>
                <w:color w:val="000000"/>
                <w:sz w:val="24"/>
                <w:szCs w:val="24"/>
                <w:lang w:eastAsia="zh-CN"/>
              </w:rPr>
              <w:t>欧宝、诺拉、洁弗乐、意莱源</w:t>
            </w:r>
          </w:p>
        </w:tc>
      </w:tr>
      <w:tr w14:paraId="419F9B68">
        <w:tblPrEx>
          <w:tblCellMar>
            <w:top w:w="0" w:type="dxa"/>
            <w:left w:w="108" w:type="dxa"/>
            <w:bottom w:w="0" w:type="dxa"/>
            <w:right w:w="108" w:type="dxa"/>
          </w:tblCellMar>
        </w:tblPrEx>
        <w:trPr>
          <w:trHeight w:val="381"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A0452EE">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357" w:type="dxa"/>
            <w:tcBorders>
              <w:top w:val="single" w:color="auto" w:sz="4" w:space="0"/>
              <w:left w:val="single" w:color="auto" w:sz="4" w:space="0"/>
              <w:bottom w:val="single" w:color="auto" w:sz="4" w:space="0"/>
              <w:right w:val="single" w:color="auto" w:sz="4" w:space="0"/>
            </w:tcBorders>
            <w:noWrap/>
            <w:vAlign w:val="center"/>
          </w:tcPr>
          <w:p w14:paraId="0DC6689B">
            <w:pPr>
              <w:rPr>
                <w:rFonts w:hint="eastAsia" w:ascii="宋体" w:hAnsi="宋体" w:eastAsia="宋体" w:cs="宋体"/>
                <w:sz w:val="24"/>
                <w:szCs w:val="24"/>
              </w:rPr>
            </w:pPr>
            <w:r>
              <w:rPr>
                <w:rFonts w:hint="eastAsia" w:ascii="宋体" w:hAnsi="宋体" w:eastAsia="宋体" w:cs="宋体"/>
                <w:sz w:val="24"/>
                <w:szCs w:val="24"/>
              </w:rPr>
              <w:t>轻钢龙骨</w:t>
            </w:r>
          </w:p>
        </w:tc>
        <w:tc>
          <w:tcPr>
            <w:tcW w:w="2351" w:type="dxa"/>
            <w:tcBorders>
              <w:top w:val="single" w:color="auto" w:sz="4" w:space="0"/>
              <w:left w:val="single" w:color="auto" w:sz="4" w:space="0"/>
              <w:bottom w:val="single" w:color="auto" w:sz="4" w:space="0"/>
              <w:right w:val="single" w:color="auto" w:sz="4" w:space="0"/>
            </w:tcBorders>
            <w:noWrap/>
            <w:vAlign w:val="center"/>
          </w:tcPr>
          <w:p w14:paraId="038DBAEE">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39DA1E28">
            <w:pPr>
              <w:jc w:val="center"/>
              <w:rPr>
                <w:rFonts w:hint="eastAsia" w:ascii="宋体" w:hAnsi="宋体" w:eastAsia="宋体" w:cs="宋体"/>
                <w:sz w:val="24"/>
                <w:szCs w:val="24"/>
              </w:rPr>
            </w:pPr>
            <w:r>
              <w:rPr>
                <w:rFonts w:hint="eastAsia" w:ascii="宋体" w:hAnsi="宋体" w:eastAsia="宋体" w:cs="宋体"/>
                <w:sz w:val="24"/>
                <w:szCs w:val="24"/>
              </w:rPr>
              <w:t>龙泰、荣翔、鼎旺</w:t>
            </w:r>
          </w:p>
        </w:tc>
      </w:tr>
      <w:tr w14:paraId="5BD594DF">
        <w:tblPrEx>
          <w:tblCellMar>
            <w:top w:w="0" w:type="dxa"/>
            <w:left w:w="108" w:type="dxa"/>
            <w:bottom w:w="0" w:type="dxa"/>
            <w:right w:w="108" w:type="dxa"/>
          </w:tblCellMar>
        </w:tblPrEx>
        <w:trPr>
          <w:trHeight w:val="370"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67825E0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2357" w:type="dxa"/>
            <w:tcBorders>
              <w:top w:val="single" w:color="auto" w:sz="4" w:space="0"/>
              <w:left w:val="single" w:color="auto" w:sz="4" w:space="0"/>
              <w:bottom w:val="single" w:color="auto" w:sz="4" w:space="0"/>
              <w:right w:val="single" w:color="auto" w:sz="4" w:space="0"/>
            </w:tcBorders>
            <w:noWrap/>
            <w:vAlign w:val="center"/>
          </w:tcPr>
          <w:p w14:paraId="38E46593">
            <w:pPr>
              <w:rPr>
                <w:rFonts w:hint="eastAsia" w:ascii="宋体" w:hAnsi="宋体" w:eastAsia="宋体" w:cs="宋体"/>
                <w:sz w:val="24"/>
                <w:szCs w:val="24"/>
              </w:rPr>
            </w:pPr>
            <w:r>
              <w:rPr>
                <w:rFonts w:hint="eastAsia" w:ascii="宋体" w:hAnsi="宋体" w:eastAsia="宋体" w:cs="宋体"/>
                <w:kern w:val="0"/>
                <w:sz w:val="24"/>
                <w:szCs w:val="24"/>
                <w:lang w:eastAsia="zh-CN"/>
              </w:rPr>
              <w:t>涂料</w:t>
            </w:r>
          </w:p>
        </w:tc>
        <w:tc>
          <w:tcPr>
            <w:tcW w:w="2351" w:type="dxa"/>
            <w:tcBorders>
              <w:top w:val="single" w:color="auto" w:sz="4" w:space="0"/>
              <w:left w:val="single" w:color="auto" w:sz="4" w:space="0"/>
              <w:bottom w:val="single" w:color="auto" w:sz="4" w:space="0"/>
              <w:right w:val="single" w:color="auto" w:sz="4" w:space="0"/>
            </w:tcBorders>
            <w:noWrap/>
            <w:vAlign w:val="center"/>
          </w:tcPr>
          <w:p w14:paraId="5FB6F04B">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32E4AB8A">
            <w:pPr>
              <w:jc w:val="center"/>
              <w:rPr>
                <w:rFonts w:hint="eastAsia" w:ascii="宋体" w:hAnsi="宋体" w:eastAsia="宋体" w:cs="宋体"/>
                <w:sz w:val="24"/>
                <w:szCs w:val="24"/>
              </w:rPr>
            </w:pPr>
            <w:r>
              <w:rPr>
                <w:rFonts w:hint="eastAsia" w:ascii="宋体" w:hAnsi="宋体" w:eastAsia="宋体" w:cs="宋体"/>
                <w:kern w:val="0"/>
                <w:sz w:val="24"/>
                <w:szCs w:val="24"/>
              </w:rPr>
              <w:t>多乐士、立邦、华润</w:t>
            </w:r>
          </w:p>
        </w:tc>
      </w:tr>
      <w:tr w14:paraId="5BB91CA9">
        <w:tblPrEx>
          <w:tblCellMar>
            <w:top w:w="0" w:type="dxa"/>
            <w:left w:w="108" w:type="dxa"/>
            <w:bottom w:w="0" w:type="dxa"/>
            <w:right w:w="108" w:type="dxa"/>
          </w:tblCellMar>
        </w:tblPrEx>
        <w:trPr>
          <w:trHeight w:val="338"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4A901FE0">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w:t>
            </w:r>
          </w:p>
        </w:tc>
        <w:tc>
          <w:tcPr>
            <w:tcW w:w="2357" w:type="dxa"/>
            <w:tcBorders>
              <w:top w:val="single" w:color="auto" w:sz="4" w:space="0"/>
              <w:left w:val="single" w:color="auto" w:sz="4" w:space="0"/>
              <w:bottom w:val="single" w:color="auto" w:sz="4" w:space="0"/>
              <w:right w:val="single" w:color="auto" w:sz="4" w:space="0"/>
            </w:tcBorders>
            <w:noWrap/>
            <w:vAlign w:val="center"/>
          </w:tcPr>
          <w:p w14:paraId="15C02607">
            <w:pPr>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eastAsia="zh-CN"/>
              </w:rPr>
              <w:t>安装</w:t>
            </w:r>
          </w:p>
        </w:tc>
        <w:tc>
          <w:tcPr>
            <w:tcW w:w="2351" w:type="dxa"/>
            <w:tcBorders>
              <w:top w:val="single" w:color="auto" w:sz="4" w:space="0"/>
              <w:left w:val="single" w:color="auto" w:sz="4" w:space="0"/>
              <w:bottom w:val="single" w:color="auto" w:sz="4" w:space="0"/>
              <w:right w:val="single" w:color="auto" w:sz="4" w:space="0"/>
            </w:tcBorders>
            <w:noWrap/>
            <w:vAlign w:val="center"/>
          </w:tcPr>
          <w:p w14:paraId="1AE1EB78">
            <w:pPr>
              <w:jc w:val="center"/>
              <w:rPr>
                <w:rFonts w:hint="eastAsia" w:ascii="宋体" w:hAnsi="宋体" w:eastAsia="宋体" w:cs="宋体"/>
                <w:sz w:val="24"/>
                <w:szCs w:val="24"/>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12CA176F">
            <w:pPr>
              <w:jc w:val="center"/>
              <w:rPr>
                <w:rFonts w:hint="eastAsia" w:ascii="宋体" w:hAnsi="宋体" w:eastAsia="宋体" w:cs="宋体"/>
                <w:color w:val="000000"/>
                <w:sz w:val="24"/>
                <w:szCs w:val="24"/>
                <w:lang w:eastAsia="zh-CN"/>
              </w:rPr>
            </w:pPr>
          </w:p>
        </w:tc>
      </w:tr>
      <w:tr w14:paraId="13212217">
        <w:tblPrEx>
          <w:tblCellMar>
            <w:top w:w="0" w:type="dxa"/>
            <w:left w:w="108" w:type="dxa"/>
            <w:bottom w:w="0" w:type="dxa"/>
            <w:right w:w="108" w:type="dxa"/>
          </w:tblCellMar>
        </w:tblPrEx>
        <w:trPr>
          <w:trHeight w:val="380"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15382F8">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p>
        </w:tc>
        <w:tc>
          <w:tcPr>
            <w:tcW w:w="2357" w:type="dxa"/>
            <w:tcBorders>
              <w:top w:val="single" w:color="auto" w:sz="4" w:space="0"/>
              <w:left w:val="single" w:color="auto" w:sz="4" w:space="0"/>
              <w:bottom w:val="single" w:color="auto" w:sz="4" w:space="0"/>
              <w:right w:val="single" w:color="auto" w:sz="4" w:space="0"/>
            </w:tcBorders>
            <w:noWrap/>
            <w:vAlign w:val="center"/>
          </w:tcPr>
          <w:p w14:paraId="1E46148D">
            <w:pPr>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卫生洁具</w:t>
            </w:r>
          </w:p>
        </w:tc>
        <w:tc>
          <w:tcPr>
            <w:tcW w:w="2351" w:type="dxa"/>
            <w:tcBorders>
              <w:top w:val="single" w:color="auto" w:sz="4" w:space="0"/>
              <w:left w:val="single" w:color="auto" w:sz="4" w:space="0"/>
              <w:bottom w:val="single" w:color="auto" w:sz="4" w:space="0"/>
              <w:right w:val="single" w:color="auto" w:sz="4" w:space="0"/>
            </w:tcBorders>
            <w:noWrap/>
            <w:vAlign w:val="center"/>
          </w:tcPr>
          <w:p w14:paraId="3700EBC2">
            <w:pPr>
              <w:jc w:val="center"/>
              <w:rPr>
                <w:rFonts w:hint="eastAsia" w:ascii="宋体" w:hAnsi="宋体" w:eastAsia="宋体" w:cs="宋体"/>
                <w:color w:val="000000"/>
                <w:sz w:val="24"/>
                <w:szCs w:val="24"/>
                <w:lang w:eastAsia="zh-CN"/>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6E522789">
            <w:pPr>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惠达、箭牌、浪鲸</w:t>
            </w:r>
          </w:p>
        </w:tc>
      </w:tr>
      <w:tr w14:paraId="68D75D10">
        <w:tblPrEx>
          <w:tblCellMar>
            <w:top w:w="0" w:type="dxa"/>
            <w:left w:w="108" w:type="dxa"/>
            <w:bottom w:w="0" w:type="dxa"/>
            <w:right w:w="108" w:type="dxa"/>
          </w:tblCellMar>
        </w:tblPrEx>
        <w:trPr>
          <w:trHeight w:val="409"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FF52EA4">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w:t>
            </w:r>
          </w:p>
        </w:tc>
        <w:tc>
          <w:tcPr>
            <w:tcW w:w="2357" w:type="dxa"/>
            <w:tcBorders>
              <w:top w:val="single" w:color="auto" w:sz="4" w:space="0"/>
              <w:left w:val="single" w:color="auto" w:sz="4" w:space="0"/>
              <w:bottom w:val="single" w:color="auto" w:sz="4" w:space="0"/>
              <w:right w:val="single" w:color="auto" w:sz="4" w:space="0"/>
            </w:tcBorders>
            <w:noWrap/>
            <w:vAlign w:val="center"/>
          </w:tcPr>
          <w:p w14:paraId="7EA2CE02">
            <w:pPr>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灯具</w:t>
            </w:r>
          </w:p>
        </w:tc>
        <w:tc>
          <w:tcPr>
            <w:tcW w:w="2351" w:type="dxa"/>
            <w:tcBorders>
              <w:top w:val="single" w:color="auto" w:sz="4" w:space="0"/>
              <w:left w:val="single" w:color="auto" w:sz="4" w:space="0"/>
              <w:bottom w:val="single" w:color="auto" w:sz="4" w:space="0"/>
              <w:right w:val="single" w:color="auto" w:sz="4" w:space="0"/>
            </w:tcBorders>
            <w:noWrap/>
            <w:vAlign w:val="center"/>
          </w:tcPr>
          <w:p w14:paraId="6C014FB7">
            <w:pPr>
              <w:jc w:val="center"/>
              <w:rPr>
                <w:rFonts w:hint="eastAsia" w:ascii="宋体" w:hAnsi="宋体" w:eastAsia="宋体" w:cs="宋体"/>
                <w:color w:val="000000"/>
                <w:sz w:val="24"/>
                <w:szCs w:val="24"/>
                <w:lang w:eastAsia="zh-CN"/>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58C0A5CF">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欧普、雷士、飞利浦</w:t>
            </w:r>
          </w:p>
        </w:tc>
      </w:tr>
      <w:tr w14:paraId="4171A33C">
        <w:tblPrEx>
          <w:tblCellMar>
            <w:top w:w="0" w:type="dxa"/>
            <w:left w:w="108" w:type="dxa"/>
            <w:bottom w:w="0" w:type="dxa"/>
            <w:right w:w="108" w:type="dxa"/>
          </w:tblCellMar>
        </w:tblPrEx>
        <w:trPr>
          <w:trHeight w:val="646" w:hRule="exact"/>
        </w:trPr>
        <w:tc>
          <w:tcPr>
            <w:tcW w:w="962" w:type="dxa"/>
            <w:tcBorders>
              <w:top w:val="single" w:color="auto" w:sz="4" w:space="0"/>
              <w:left w:val="single" w:color="auto" w:sz="4" w:space="0"/>
              <w:bottom w:val="single" w:color="auto" w:sz="4" w:space="0"/>
              <w:right w:val="single" w:color="auto" w:sz="4" w:space="0"/>
            </w:tcBorders>
            <w:noWrap/>
            <w:vAlign w:val="center"/>
          </w:tcPr>
          <w:p w14:paraId="5B6A547C">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w:t>
            </w:r>
          </w:p>
        </w:tc>
        <w:tc>
          <w:tcPr>
            <w:tcW w:w="2357" w:type="dxa"/>
            <w:tcBorders>
              <w:top w:val="single" w:color="auto" w:sz="4" w:space="0"/>
              <w:left w:val="single" w:color="auto" w:sz="4" w:space="0"/>
              <w:bottom w:val="single" w:color="auto" w:sz="4" w:space="0"/>
              <w:right w:val="single" w:color="auto" w:sz="4" w:space="0"/>
            </w:tcBorders>
            <w:noWrap/>
            <w:vAlign w:val="center"/>
          </w:tcPr>
          <w:p w14:paraId="4AC60E40">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PPR给水管、UPVC塑料排水管</w:t>
            </w:r>
          </w:p>
        </w:tc>
        <w:tc>
          <w:tcPr>
            <w:tcW w:w="2351" w:type="dxa"/>
            <w:tcBorders>
              <w:top w:val="single" w:color="auto" w:sz="4" w:space="0"/>
              <w:left w:val="single" w:color="auto" w:sz="4" w:space="0"/>
              <w:bottom w:val="single" w:color="auto" w:sz="4" w:space="0"/>
              <w:right w:val="single" w:color="auto" w:sz="4" w:space="0"/>
            </w:tcBorders>
            <w:noWrap/>
            <w:vAlign w:val="center"/>
          </w:tcPr>
          <w:p w14:paraId="1B11573D">
            <w:pPr>
              <w:jc w:val="center"/>
              <w:rPr>
                <w:rFonts w:hint="eastAsia" w:ascii="宋体" w:hAnsi="宋体" w:eastAsia="宋体" w:cs="宋体"/>
                <w:color w:val="000000"/>
                <w:sz w:val="24"/>
                <w:szCs w:val="24"/>
                <w:lang w:eastAsia="zh-CN"/>
              </w:rPr>
            </w:pPr>
          </w:p>
        </w:tc>
        <w:tc>
          <w:tcPr>
            <w:tcW w:w="3542" w:type="dxa"/>
            <w:tcBorders>
              <w:top w:val="single" w:color="auto" w:sz="4" w:space="0"/>
              <w:left w:val="single" w:color="auto" w:sz="4" w:space="0"/>
              <w:bottom w:val="single" w:color="auto" w:sz="4" w:space="0"/>
              <w:right w:val="single" w:color="auto" w:sz="4" w:space="0"/>
            </w:tcBorders>
            <w:noWrap/>
            <w:vAlign w:val="center"/>
          </w:tcPr>
          <w:p w14:paraId="75315729">
            <w:pPr>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联塑、公元、中财</w:t>
            </w:r>
          </w:p>
        </w:tc>
      </w:tr>
    </w:tbl>
    <w:p w14:paraId="091FFC06">
      <w:pPr>
        <w:snapToGrid w:val="0"/>
        <w:spacing w:line="440" w:lineRule="atLeast"/>
        <w:ind w:left="482" w:hanging="482" w:hangingChars="200"/>
        <w:rPr>
          <w:rFonts w:hint="eastAsia" w:ascii="宋体" w:hAnsi="宋体" w:cs="宋体"/>
          <w:b/>
          <w:sz w:val="24"/>
          <w:lang w:val="zh-CN"/>
        </w:rPr>
      </w:pPr>
      <w:r>
        <w:rPr>
          <w:rFonts w:hint="eastAsia" w:ascii="宋体" w:hAnsi="宋体" w:cs="宋体"/>
          <w:b/>
          <w:sz w:val="24"/>
          <w:lang w:val="en-US" w:eastAsia="zh-CN"/>
        </w:rPr>
        <w:t>十一、</w:t>
      </w:r>
      <w:r>
        <w:rPr>
          <w:rFonts w:hint="eastAsia" w:ascii="宋体" w:hAnsi="宋体" w:cs="宋体"/>
          <w:b/>
          <w:sz w:val="24"/>
          <w:lang w:val="zh-CN"/>
        </w:rPr>
        <w:t>凡是没有明确说明但可以推断而又是整个工程施工时时不可缺少或必需的配套施工程序也应包括在施工合同中，</w:t>
      </w:r>
      <w:r>
        <w:rPr>
          <w:rFonts w:hint="eastAsia" w:ascii="宋体" w:hAnsi="宋体" w:cs="宋体"/>
          <w:b/>
          <w:sz w:val="24"/>
          <w:lang w:val="en-US" w:eastAsia="zh-CN"/>
        </w:rPr>
        <w:t>报价时充分考虑</w:t>
      </w:r>
      <w:r>
        <w:rPr>
          <w:rFonts w:hint="eastAsia" w:ascii="宋体" w:hAnsi="宋体" w:cs="宋体"/>
          <w:b/>
          <w:sz w:val="24"/>
          <w:lang w:val="zh-CN"/>
        </w:rPr>
        <w:t>，由中标单位完成并承担费用。</w:t>
      </w:r>
    </w:p>
    <w:p w14:paraId="59ABFBE3">
      <w:pPr>
        <w:snapToGrid w:val="0"/>
        <w:spacing w:line="440" w:lineRule="atLeast"/>
        <w:rPr>
          <w:rFonts w:hint="eastAsia" w:ascii="宋体" w:hAnsi="宋体" w:cs="宋体"/>
          <w:b/>
          <w:sz w:val="24"/>
          <w:lang w:val="zh-CN"/>
        </w:rPr>
      </w:pPr>
      <w:r>
        <w:rPr>
          <w:rFonts w:hint="eastAsia" w:ascii="宋体" w:hAnsi="宋体" w:cs="宋体"/>
          <w:b/>
          <w:sz w:val="24"/>
          <w:lang w:val="zh-CN"/>
        </w:rPr>
        <w:t>十二、工程信息明细：</w:t>
      </w:r>
    </w:p>
    <w:tbl>
      <w:tblPr>
        <w:tblStyle w:val="10"/>
        <w:tblpPr w:leftFromText="180" w:rightFromText="180" w:vertAnchor="text" w:horzAnchor="page" w:tblpX="1423" w:tblpY="338"/>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972"/>
        <w:gridCol w:w="3392"/>
      </w:tblGrid>
      <w:tr w14:paraId="2997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29DA1655">
            <w:pPr>
              <w:autoSpaceDE w:val="0"/>
              <w:autoSpaceDN w:val="0"/>
              <w:rPr>
                <w:rFonts w:hint="default" w:ascii="宋体" w:hAnsi="宋体" w:eastAsia="宋体" w:cs="宋体"/>
                <w:sz w:val="24"/>
                <w:lang w:val="en-US" w:eastAsia="zh-CN"/>
              </w:rPr>
            </w:pPr>
            <w:r>
              <w:rPr>
                <w:rFonts w:hint="eastAsia" w:ascii="宋体" w:hAnsi="宋体" w:cs="宋体"/>
                <w:sz w:val="24"/>
              </w:rPr>
              <w:t>项目编号：</w:t>
            </w:r>
            <w:r>
              <w:rPr>
                <w:rFonts w:hint="eastAsia" w:ascii="宋体" w:hAnsi="宋体" w:cs="宋体"/>
                <w:sz w:val="24"/>
                <w:lang w:val="en-US" w:eastAsia="zh-CN"/>
              </w:rPr>
              <w:t xml:space="preserve"> </w:t>
            </w:r>
          </w:p>
        </w:tc>
      </w:tr>
      <w:tr w14:paraId="30FF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7BFFBDAD">
            <w:pPr>
              <w:autoSpaceDE w:val="0"/>
              <w:autoSpaceDN w:val="0"/>
              <w:rPr>
                <w:rFonts w:ascii="宋体" w:hAnsi="宋体" w:cs="宋体"/>
                <w:sz w:val="24"/>
              </w:rPr>
            </w:pPr>
            <w:r>
              <w:rPr>
                <w:rFonts w:hint="eastAsia" w:ascii="宋体" w:hAnsi="宋体" w:cs="宋体"/>
                <w:sz w:val="24"/>
                <w:lang w:val="zh-CN"/>
              </w:rPr>
              <w:t>工程名称：</w:t>
            </w:r>
            <w:r>
              <w:rPr>
                <w:rFonts w:hint="eastAsia" w:ascii="宋体" w:hAnsi="宋体" w:cs="宋体"/>
                <w:bCs/>
                <w:sz w:val="24"/>
                <w:lang w:val="zh-CN" w:eastAsia="zh-CN"/>
              </w:rPr>
              <w:t>江阴市军队离退休干部服务中心改造工程</w:t>
            </w:r>
          </w:p>
        </w:tc>
      </w:tr>
      <w:tr w14:paraId="5BC2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7168F72A">
            <w:pPr>
              <w:autoSpaceDE w:val="0"/>
              <w:autoSpaceDN w:val="0"/>
              <w:rPr>
                <w:rFonts w:ascii="宋体" w:hAnsi="宋体" w:cs="宋体"/>
                <w:sz w:val="24"/>
              </w:rPr>
            </w:pPr>
            <w:r>
              <w:rPr>
                <w:rFonts w:hint="eastAsia" w:ascii="宋体" w:hAnsi="宋体" w:cs="宋体"/>
                <w:sz w:val="24"/>
              </w:rPr>
              <w:t>建设单位</w:t>
            </w:r>
            <w:r>
              <w:rPr>
                <w:rFonts w:hint="eastAsia" w:ascii="宋体" w:hAnsi="宋体" w:cs="宋体"/>
                <w:sz w:val="24"/>
                <w:lang w:val="zh-CN"/>
              </w:rPr>
              <w:t>：</w:t>
            </w:r>
            <w:r>
              <w:rPr>
                <w:rFonts w:hint="eastAsia" w:ascii="宋体" w:hAnsi="宋体" w:cs="宋体"/>
                <w:bCs/>
                <w:sz w:val="24"/>
                <w:lang w:val="zh-CN" w:eastAsia="zh-CN"/>
              </w:rPr>
              <w:t>江阴市军队离退休干部服务中心</w:t>
            </w:r>
          </w:p>
        </w:tc>
      </w:tr>
      <w:tr w14:paraId="6EE4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3834ABA7">
            <w:pPr>
              <w:autoSpaceDE w:val="0"/>
              <w:autoSpaceDN w:val="0"/>
              <w:rPr>
                <w:rFonts w:ascii="宋体" w:hAnsi="宋体" w:cs="宋体"/>
                <w:sz w:val="24"/>
              </w:rPr>
            </w:pPr>
            <w:r>
              <w:rPr>
                <w:rFonts w:hint="eastAsia" w:ascii="宋体" w:hAnsi="宋体" w:cs="宋体"/>
                <w:sz w:val="24"/>
              </w:rPr>
              <w:t>单位工程明细：</w:t>
            </w:r>
          </w:p>
        </w:tc>
      </w:tr>
      <w:tr w14:paraId="1588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24" w:type="dxa"/>
            <w:tcBorders>
              <w:top w:val="single" w:color="auto" w:sz="4" w:space="0"/>
              <w:left w:val="single" w:color="auto" w:sz="4" w:space="0"/>
              <w:bottom w:val="single" w:color="auto" w:sz="4" w:space="0"/>
              <w:right w:val="single" w:color="auto" w:sz="4" w:space="0"/>
            </w:tcBorders>
            <w:vAlign w:val="center"/>
          </w:tcPr>
          <w:p w14:paraId="4B8327F5">
            <w:pPr>
              <w:autoSpaceDE w:val="0"/>
              <w:autoSpaceDN w:val="0"/>
              <w:rPr>
                <w:rFonts w:ascii="宋体" w:hAnsi="宋体" w:cs="宋体"/>
                <w:sz w:val="24"/>
              </w:rPr>
            </w:pPr>
            <w:r>
              <w:rPr>
                <w:rFonts w:hint="eastAsia" w:ascii="宋体" w:hAnsi="宋体" w:cs="宋体"/>
                <w:sz w:val="24"/>
              </w:rPr>
              <w:t>编号</w:t>
            </w:r>
          </w:p>
        </w:tc>
        <w:tc>
          <w:tcPr>
            <w:tcW w:w="4972" w:type="dxa"/>
            <w:tcBorders>
              <w:top w:val="single" w:color="auto" w:sz="4" w:space="0"/>
              <w:left w:val="single" w:color="auto" w:sz="4" w:space="0"/>
              <w:bottom w:val="single" w:color="auto" w:sz="4" w:space="0"/>
              <w:right w:val="single" w:color="auto" w:sz="4" w:space="0"/>
            </w:tcBorders>
            <w:vAlign w:val="center"/>
          </w:tcPr>
          <w:p w14:paraId="405B6230">
            <w:pPr>
              <w:autoSpaceDE w:val="0"/>
              <w:autoSpaceDN w:val="0"/>
              <w:rPr>
                <w:rFonts w:ascii="宋体" w:hAnsi="宋体" w:cs="宋体"/>
                <w:sz w:val="24"/>
              </w:rPr>
            </w:pPr>
            <w:r>
              <w:rPr>
                <w:rFonts w:hint="eastAsia" w:ascii="宋体" w:hAnsi="宋体" w:cs="宋体"/>
                <w:sz w:val="24"/>
              </w:rPr>
              <w:t>单位工程名称</w:t>
            </w:r>
          </w:p>
        </w:tc>
        <w:tc>
          <w:tcPr>
            <w:tcW w:w="3392" w:type="dxa"/>
            <w:tcBorders>
              <w:top w:val="single" w:color="auto" w:sz="4" w:space="0"/>
              <w:left w:val="single" w:color="auto" w:sz="4" w:space="0"/>
              <w:bottom w:val="single" w:color="auto" w:sz="4" w:space="0"/>
              <w:right w:val="single" w:color="auto" w:sz="4" w:space="0"/>
            </w:tcBorders>
            <w:vAlign w:val="center"/>
          </w:tcPr>
          <w:p w14:paraId="3377CADA">
            <w:pPr>
              <w:autoSpaceDE w:val="0"/>
              <w:autoSpaceDN w:val="0"/>
              <w:rPr>
                <w:rFonts w:ascii="宋体" w:hAnsi="宋体" w:cs="宋体"/>
                <w:sz w:val="24"/>
              </w:rPr>
            </w:pPr>
          </w:p>
        </w:tc>
      </w:tr>
      <w:tr w14:paraId="1DE0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4" w:type="dxa"/>
            <w:tcBorders>
              <w:top w:val="single" w:color="auto" w:sz="4" w:space="0"/>
              <w:left w:val="single" w:color="auto" w:sz="4" w:space="0"/>
              <w:bottom w:val="single" w:color="auto" w:sz="4" w:space="0"/>
              <w:right w:val="single" w:color="auto" w:sz="4" w:space="0"/>
            </w:tcBorders>
            <w:vAlign w:val="center"/>
          </w:tcPr>
          <w:p w14:paraId="7CC3E31C">
            <w:pPr>
              <w:autoSpaceDE w:val="0"/>
              <w:autoSpaceDN w:val="0"/>
              <w:rPr>
                <w:rFonts w:hint="default" w:ascii="宋体" w:hAnsi="宋体" w:cs="宋体"/>
                <w:sz w:val="24"/>
                <w:lang w:val="en-US" w:eastAsia="zh-CN"/>
              </w:rPr>
            </w:pPr>
            <w:r>
              <w:rPr>
                <w:rFonts w:hint="eastAsia" w:ascii="宋体" w:hAnsi="宋体" w:cs="宋体"/>
                <w:sz w:val="24"/>
                <w:lang w:val="en-US" w:eastAsia="zh-CN"/>
              </w:rPr>
              <w:t>001</w:t>
            </w:r>
          </w:p>
        </w:tc>
        <w:tc>
          <w:tcPr>
            <w:tcW w:w="4972" w:type="dxa"/>
            <w:tcBorders>
              <w:top w:val="single" w:color="auto" w:sz="4" w:space="0"/>
              <w:left w:val="single" w:color="auto" w:sz="4" w:space="0"/>
              <w:bottom w:val="single" w:color="auto" w:sz="4" w:space="0"/>
              <w:right w:val="single" w:color="auto" w:sz="4" w:space="0"/>
            </w:tcBorders>
            <w:vAlign w:val="center"/>
          </w:tcPr>
          <w:p w14:paraId="58EDD751">
            <w:pPr>
              <w:autoSpaceDE w:val="0"/>
              <w:autoSpaceDN w:val="0"/>
              <w:rPr>
                <w:rFonts w:hint="default" w:ascii="宋体" w:hAnsi="宋体" w:eastAsia="宋体" w:cs="宋体"/>
                <w:bCs/>
                <w:sz w:val="24"/>
                <w:lang w:val="en-US" w:eastAsia="zh-CN"/>
              </w:rPr>
            </w:pPr>
            <w:r>
              <w:rPr>
                <w:rFonts w:hint="eastAsia" w:ascii="宋体" w:hAnsi="宋体" w:cs="宋体"/>
                <w:bCs/>
                <w:sz w:val="24"/>
                <w:lang w:val="en-US" w:eastAsia="zh-CN"/>
              </w:rPr>
              <w:t>办公楼土建修缮</w:t>
            </w:r>
          </w:p>
        </w:tc>
        <w:tc>
          <w:tcPr>
            <w:tcW w:w="3392" w:type="dxa"/>
            <w:tcBorders>
              <w:top w:val="single" w:color="auto" w:sz="4" w:space="0"/>
              <w:left w:val="single" w:color="auto" w:sz="4" w:space="0"/>
              <w:bottom w:val="single" w:color="auto" w:sz="4" w:space="0"/>
              <w:right w:val="single" w:color="auto" w:sz="4" w:space="0"/>
            </w:tcBorders>
            <w:vAlign w:val="center"/>
          </w:tcPr>
          <w:p w14:paraId="432E8937">
            <w:pPr>
              <w:autoSpaceDE w:val="0"/>
              <w:autoSpaceDN w:val="0"/>
              <w:rPr>
                <w:rFonts w:hint="eastAsia" w:ascii="宋体" w:hAnsi="宋体" w:cs="宋体"/>
                <w:sz w:val="24"/>
              </w:rPr>
            </w:pPr>
            <w:r>
              <w:rPr>
                <w:rFonts w:hint="eastAsia" w:ascii="宋体" w:hAnsi="宋体" w:cs="宋体"/>
                <w:sz w:val="24"/>
              </w:rPr>
              <w:t>按【</w:t>
            </w:r>
            <w:r>
              <w:rPr>
                <w:rFonts w:hint="eastAsia" w:ascii="宋体" w:hAnsi="宋体" w:cs="宋体"/>
                <w:sz w:val="24"/>
                <w:lang w:eastAsia="zh-CN"/>
              </w:rPr>
              <w:t>土建修缮</w:t>
            </w:r>
            <w:r>
              <w:rPr>
                <w:rFonts w:hint="eastAsia" w:ascii="宋体" w:hAnsi="宋体" w:cs="宋体"/>
                <w:b w:val="0"/>
                <w:bCs w:val="0"/>
                <w:sz w:val="24"/>
                <w:lang w:eastAsia="zh-CN"/>
              </w:rPr>
              <w:t>工程</w:t>
            </w:r>
            <w:r>
              <w:rPr>
                <w:rFonts w:hint="eastAsia" w:ascii="宋体" w:hAnsi="宋体" w:cs="宋体"/>
                <w:sz w:val="24"/>
              </w:rPr>
              <w:t>】</w:t>
            </w:r>
          </w:p>
        </w:tc>
      </w:tr>
      <w:tr w14:paraId="4732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4" w:type="dxa"/>
            <w:tcBorders>
              <w:top w:val="single" w:color="auto" w:sz="4" w:space="0"/>
              <w:left w:val="single" w:color="auto" w:sz="4" w:space="0"/>
              <w:bottom w:val="single" w:color="auto" w:sz="4" w:space="0"/>
              <w:right w:val="single" w:color="auto" w:sz="4" w:space="0"/>
            </w:tcBorders>
            <w:vAlign w:val="center"/>
          </w:tcPr>
          <w:p w14:paraId="1218B5A6">
            <w:pPr>
              <w:autoSpaceDE w:val="0"/>
              <w:autoSpaceDN w:val="0"/>
              <w:rPr>
                <w:rFonts w:hint="default" w:ascii="宋体" w:hAnsi="宋体" w:cs="宋体"/>
                <w:sz w:val="24"/>
                <w:lang w:val="en-US" w:eastAsia="zh-CN"/>
              </w:rPr>
            </w:pPr>
            <w:r>
              <w:rPr>
                <w:rFonts w:hint="eastAsia" w:ascii="宋体" w:hAnsi="宋体" w:cs="宋体"/>
                <w:sz w:val="24"/>
                <w:lang w:val="en-US" w:eastAsia="zh-CN"/>
              </w:rPr>
              <w:t>002</w:t>
            </w:r>
          </w:p>
        </w:tc>
        <w:tc>
          <w:tcPr>
            <w:tcW w:w="4972" w:type="dxa"/>
            <w:tcBorders>
              <w:top w:val="single" w:color="auto" w:sz="4" w:space="0"/>
              <w:left w:val="single" w:color="auto" w:sz="4" w:space="0"/>
              <w:bottom w:val="single" w:color="auto" w:sz="4" w:space="0"/>
              <w:right w:val="single" w:color="auto" w:sz="4" w:space="0"/>
            </w:tcBorders>
            <w:vAlign w:val="center"/>
          </w:tcPr>
          <w:p w14:paraId="4CC1A2F5">
            <w:pPr>
              <w:autoSpaceDE w:val="0"/>
              <w:autoSpaceDN w:val="0"/>
              <w:rPr>
                <w:rFonts w:hint="eastAsia" w:ascii="宋体" w:hAnsi="宋体" w:cs="宋体"/>
                <w:bCs/>
                <w:sz w:val="24"/>
              </w:rPr>
            </w:pPr>
            <w:r>
              <w:rPr>
                <w:rFonts w:hint="eastAsia" w:ascii="宋体" w:hAnsi="宋体" w:cs="宋体"/>
                <w:bCs/>
                <w:sz w:val="24"/>
              </w:rPr>
              <w:t>其它房屋</w:t>
            </w:r>
            <w:bookmarkStart w:id="0" w:name="_GoBack"/>
            <w:bookmarkEnd w:id="0"/>
            <w:r>
              <w:rPr>
                <w:rFonts w:hint="eastAsia" w:ascii="宋体" w:hAnsi="宋体" w:cs="宋体"/>
                <w:bCs/>
                <w:sz w:val="24"/>
              </w:rPr>
              <w:t>土建修缮</w:t>
            </w:r>
          </w:p>
        </w:tc>
        <w:tc>
          <w:tcPr>
            <w:tcW w:w="3392" w:type="dxa"/>
            <w:tcBorders>
              <w:top w:val="single" w:color="auto" w:sz="4" w:space="0"/>
              <w:left w:val="single" w:color="auto" w:sz="4" w:space="0"/>
              <w:bottom w:val="single" w:color="auto" w:sz="4" w:space="0"/>
              <w:right w:val="single" w:color="auto" w:sz="4" w:space="0"/>
            </w:tcBorders>
            <w:vAlign w:val="center"/>
          </w:tcPr>
          <w:p w14:paraId="20A9BE7A">
            <w:pPr>
              <w:autoSpaceDE w:val="0"/>
              <w:autoSpaceDN w:val="0"/>
              <w:rPr>
                <w:rFonts w:hint="eastAsia" w:ascii="宋体" w:hAnsi="宋体" w:cs="宋体"/>
                <w:sz w:val="24"/>
              </w:rPr>
            </w:pPr>
            <w:r>
              <w:rPr>
                <w:rFonts w:hint="eastAsia" w:ascii="宋体" w:hAnsi="宋体" w:cs="宋体"/>
                <w:sz w:val="24"/>
              </w:rPr>
              <w:t>按【</w:t>
            </w:r>
            <w:r>
              <w:rPr>
                <w:rFonts w:hint="eastAsia" w:ascii="宋体" w:hAnsi="宋体" w:cs="宋体"/>
                <w:sz w:val="24"/>
                <w:lang w:eastAsia="zh-CN"/>
              </w:rPr>
              <w:t>土建修缮</w:t>
            </w:r>
            <w:r>
              <w:rPr>
                <w:rFonts w:hint="eastAsia" w:ascii="宋体" w:hAnsi="宋体" w:cs="宋体"/>
                <w:b w:val="0"/>
                <w:bCs w:val="0"/>
                <w:sz w:val="24"/>
                <w:lang w:eastAsia="zh-CN"/>
              </w:rPr>
              <w:t>工程</w:t>
            </w:r>
            <w:r>
              <w:rPr>
                <w:rFonts w:hint="eastAsia" w:ascii="宋体" w:hAnsi="宋体" w:cs="宋体"/>
                <w:sz w:val="24"/>
              </w:rPr>
              <w:t>】</w:t>
            </w:r>
          </w:p>
        </w:tc>
      </w:tr>
      <w:tr w14:paraId="229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14:paraId="0823A091">
            <w:pPr>
              <w:autoSpaceDE w:val="0"/>
              <w:autoSpaceDN w:val="0"/>
              <w:rPr>
                <w:rFonts w:hint="eastAsia" w:ascii="宋体" w:hAnsi="宋体" w:eastAsia="宋体" w:cs="宋体"/>
                <w:kern w:val="2"/>
                <w:sz w:val="24"/>
                <w:szCs w:val="24"/>
                <w:lang w:val="en-US" w:eastAsia="zh-CN" w:bidi="ar-SA"/>
              </w:rPr>
            </w:pPr>
            <w:r>
              <w:rPr>
                <w:rFonts w:hint="eastAsia" w:ascii="宋体" w:hAnsi="宋体" w:cs="宋体"/>
                <w:sz w:val="24"/>
                <w:lang w:val="en-US" w:eastAsia="zh-CN"/>
              </w:rPr>
              <w:t>003</w:t>
            </w:r>
          </w:p>
        </w:tc>
        <w:tc>
          <w:tcPr>
            <w:tcW w:w="4972" w:type="dxa"/>
            <w:tcBorders>
              <w:top w:val="single" w:color="auto" w:sz="4" w:space="0"/>
              <w:left w:val="single" w:color="auto" w:sz="4" w:space="0"/>
              <w:bottom w:val="single" w:color="auto" w:sz="4" w:space="0"/>
              <w:right w:val="single" w:color="auto" w:sz="4" w:space="0"/>
            </w:tcBorders>
            <w:shd w:val="clear" w:color="auto" w:fill="auto"/>
            <w:vAlign w:val="center"/>
          </w:tcPr>
          <w:p w14:paraId="5AAE82F9">
            <w:pPr>
              <w:autoSpaceDE w:val="0"/>
              <w:autoSpaceDN w:val="0"/>
              <w:rPr>
                <w:rFonts w:hint="eastAsia" w:ascii="宋体" w:hAnsi="宋体" w:eastAsia="宋体" w:cs="宋体"/>
                <w:bCs/>
                <w:kern w:val="2"/>
                <w:sz w:val="24"/>
                <w:szCs w:val="24"/>
                <w:lang w:val="en-US" w:eastAsia="zh-CN" w:bidi="ar-SA"/>
              </w:rPr>
            </w:pPr>
            <w:r>
              <w:rPr>
                <w:rFonts w:hint="eastAsia" w:ascii="宋体" w:hAnsi="宋体" w:cs="宋体"/>
                <w:bCs/>
                <w:sz w:val="24"/>
              </w:rPr>
              <w:t>安装工程</w:t>
            </w:r>
          </w:p>
        </w:tc>
        <w:tc>
          <w:tcPr>
            <w:tcW w:w="3392" w:type="dxa"/>
            <w:tcBorders>
              <w:top w:val="single" w:color="auto" w:sz="4" w:space="0"/>
              <w:left w:val="single" w:color="auto" w:sz="4" w:space="0"/>
              <w:bottom w:val="single" w:color="auto" w:sz="4" w:space="0"/>
              <w:right w:val="single" w:color="auto" w:sz="4" w:space="0"/>
            </w:tcBorders>
            <w:shd w:val="clear" w:color="auto" w:fill="auto"/>
            <w:vAlign w:val="center"/>
          </w:tcPr>
          <w:p w14:paraId="52BB2660">
            <w:pPr>
              <w:autoSpaceDE w:val="0"/>
              <w:autoSpaceDN w:val="0"/>
              <w:rPr>
                <w:rFonts w:hint="eastAsia" w:ascii="宋体" w:hAnsi="宋体" w:eastAsia="宋体" w:cs="宋体"/>
                <w:kern w:val="2"/>
                <w:sz w:val="24"/>
                <w:szCs w:val="24"/>
                <w:lang w:val="en-US" w:eastAsia="zh-CN" w:bidi="ar-SA"/>
              </w:rPr>
            </w:pPr>
            <w:r>
              <w:rPr>
                <w:rFonts w:hint="eastAsia" w:ascii="宋体" w:hAnsi="宋体" w:cs="宋体"/>
                <w:sz w:val="24"/>
              </w:rPr>
              <w:t>按【</w:t>
            </w:r>
            <w:r>
              <w:rPr>
                <w:rFonts w:hint="eastAsia" w:ascii="宋体" w:hAnsi="宋体" w:cs="宋体"/>
                <w:sz w:val="24"/>
                <w:lang w:eastAsia="zh-CN"/>
              </w:rPr>
              <w:t>安装</w:t>
            </w:r>
            <w:r>
              <w:rPr>
                <w:rFonts w:hint="eastAsia" w:ascii="宋体" w:hAnsi="宋体" w:cs="宋体"/>
                <w:b w:val="0"/>
                <w:bCs w:val="0"/>
                <w:sz w:val="24"/>
                <w:lang w:eastAsia="zh-CN"/>
              </w:rPr>
              <w:t>工程</w:t>
            </w:r>
            <w:r>
              <w:rPr>
                <w:rFonts w:hint="eastAsia" w:ascii="宋体" w:hAnsi="宋体" w:cs="宋体"/>
                <w:sz w:val="24"/>
              </w:rPr>
              <w:t>】</w:t>
            </w:r>
          </w:p>
        </w:tc>
      </w:tr>
    </w:tbl>
    <w:p w14:paraId="2B09A997">
      <w:pPr>
        <w:tabs>
          <w:tab w:val="left" w:pos="5944"/>
        </w:tabs>
        <w:autoSpaceDE w:val="0"/>
        <w:autoSpaceDN w:val="0"/>
        <w:adjustRightInd w:val="0"/>
        <w:spacing w:line="360" w:lineRule="auto"/>
        <w:jc w:val="right"/>
        <w:rPr>
          <w:rFonts w:hint="eastAsia" w:ascii="宋体" w:hAnsi="宋体" w:cs="宋体"/>
          <w:kern w:val="0"/>
          <w:sz w:val="24"/>
        </w:rPr>
      </w:pPr>
    </w:p>
    <w:p w14:paraId="70A46315">
      <w:pPr>
        <w:tabs>
          <w:tab w:val="left" w:pos="5944"/>
        </w:tabs>
        <w:autoSpaceDE w:val="0"/>
        <w:autoSpaceDN w:val="0"/>
        <w:adjustRightInd w:val="0"/>
        <w:spacing w:line="360" w:lineRule="auto"/>
        <w:jc w:val="right"/>
        <w:rPr>
          <w:rFonts w:ascii="宋体" w:hAnsi="宋体" w:cs="宋体"/>
          <w:kern w:val="0"/>
          <w:sz w:val="24"/>
        </w:rPr>
      </w:pPr>
      <w:r>
        <w:rPr>
          <w:rFonts w:hint="eastAsia" w:ascii="宋体" w:hAnsi="宋体" w:cs="宋体"/>
          <w:kern w:val="0"/>
          <w:sz w:val="24"/>
        </w:rPr>
        <w:t>中嘉工程管理咨询（江苏）有限公司</w:t>
      </w:r>
    </w:p>
    <w:p w14:paraId="51548EF7">
      <w:pPr>
        <w:snapToGrid w:val="0"/>
        <w:spacing w:line="440" w:lineRule="atLeast"/>
        <w:ind w:firstLine="6480" w:firstLineChars="2700"/>
        <w:jc w:val="right"/>
      </w:pPr>
      <w:r>
        <w:rPr>
          <w:rFonts w:hint="eastAsia" w:ascii="宋体" w:hAnsi="宋体"/>
          <w:sz w:val="24"/>
        </w:rPr>
        <w:t>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5</w:t>
      </w:r>
      <w:r>
        <w:rPr>
          <w:rFonts w:hint="eastAsia" w:ascii="宋体" w:hAnsi="宋体"/>
          <w:sz w:val="24"/>
        </w:rPr>
        <w:t>月</w:t>
      </w:r>
      <w:r>
        <w:rPr>
          <w:rFonts w:hint="eastAsia" w:ascii="宋体" w:hAnsi="宋体"/>
          <w:sz w:val="24"/>
          <w:lang w:val="en-US" w:eastAsia="zh-CN"/>
        </w:rPr>
        <w:t>18</w:t>
      </w:r>
      <w:r>
        <w:rPr>
          <w:rFonts w:hint="eastAsia" w:ascii="宋体" w:hAnsi="宋体"/>
          <w:sz w:val="24"/>
        </w:rPr>
        <w:t>日</w:t>
      </w:r>
    </w:p>
    <w:sectPr>
      <w:headerReference r:id="rId3" w:type="default"/>
      <w:footerReference r:id="rId4" w:type="default"/>
      <w:footerReference r:id="rId5" w:type="even"/>
      <w:pgSz w:w="11906" w:h="16838"/>
      <w:pgMar w:top="1091" w:right="829" w:bottom="779" w:left="9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06E9B">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2C4B09A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0BE5B">
    <w:pPr>
      <w:pStyle w:val="8"/>
      <w:framePr w:wrap="around" w:vAnchor="text" w:hAnchor="margin" w:xAlign="center" w:y="1"/>
      <w:rPr>
        <w:rStyle w:val="13"/>
      </w:rPr>
    </w:pPr>
    <w:r>
      <w:fldChar w:fldCharType="begin"/>
    </w:r>
    <w:r>
      <w:rPr>
        <w:rStyle w:val="13"/>
      </w:rPr>
      <w:instrText xml:space="preserve">PAGE  </w:instrText>
    </w:r>
    <w:r>
      <w:fldChar w:fldCharType="end"/>
    </w:r>
  </w:p>
  <w:p w14:paraId="12D91F7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28820">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A199C"/>
    <w:multiLevelType w:val="singleLevel"/>
    <w:tmpl w:val="B1FA199C"/>
    <w:lvl w:ilvl="0" w:tentative="0">
      <w:start w:val="8"/>
      <w:numFmt w:val="chineseCounting"/>
      <w:suff w:val="nothing"/>
      <w:lvlText w:val="%1、"/>
      <w:lvlJc w:val="left"/>
      <w:rPr>
        <w:rFonts w:hint="eastAsia"/>
      </w:rPr>
    </w:lvl>
  </w:abstractNum>
  <w:abstractNum w:abstractNumId="1">
    <w:nsid w:val="C5C9CD6B"/>
    <w:multiLevelType w:val="singleLevel"/>
    <w:tmpl w:val="C5C9CD6B"/>
    <w:lvl w:ilvl="0" w:tentative="0">
      <w:start w:val="2"/>
      <w:numFmt w:val="chineseCounting"/>
      <w:suff w:val="nothing"/>
      <w:lvlText w:val="%1、"/>
      <w:lvlJc w:val="left"/>
      <w:rPr>
        <w:rFonts w:hint="eastAsia"/>
      </w:rPr>
    </w:lvl>
  </w:abstractNum>
  <w:abstractNum w:abstractNumId="2">
    <w:nsid w:val="F1221534"/>
    <w:multiLevelType w:val="singleLevel"/>
    <w:tmpl w:val="F122153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NjE5YzRjNzUzOGQ5MWY3MmQ2MTg4OTE5NDk3ZWMifQ=="/>
  </w:docVars>
  <w:rsids>
    <w:rsidRoot w:val="00172A27"/>
    <w:rsid w:val="000118A2"/>
    <w:rsid w:val="00033918"/>
    <w:rsid w:val="00055546"/>
    <w:rsid w:val="00143FFB"/>
    <w:rsid w:val="00172A27"/>
    <w:rsid w:val="001A6AF9"/>
    <w:rsid w:val="001E7F76"/>
    <w:rsid w:val="00211A02"/>
    <w:rsid w:val="00275DDF"/>
    <w:rsid w:val="002D7A2C"/>
    <w:rsid w:val="00324123"/>
    <w:rsid w:val="003268E5"/>
    <w:rsid w:val="0036701D"/>
    <w:rsid w:val="00395147"/>
    <w:rsid w:val="003C3447"/>
    <w:rsid w:val="003D119A"/>
    <w:rsid w:val="003F23D8"/>
    <w:rsid w:val="004163B2"/>
    <w:rsid w:val="004A540E"/>
    <w:rsid w:val="004D51BC"/>
    <w:rsid w:val="00587CD5"/>
    <w:rsid w:val="0065097B"/>
    <w:rsid w:val="00696ABA"/>
    <w:rsid w:val="006A71A9"/>
    <w:rsid w:val="007A6290"/>
    <w:rsid w:val="00857459"/>
    <w:rsid w:val="00872CFB"/>
    <w:rsid w:val="008D6365"/>
    <w:rsid w:val="009136E0"/>
    <w:rsid w:val="009374D0"/>
    <w:rsid w:val="00951F6C"/>
    <w:rsid w:val="00953516"/>
    <w:rsid w:val="009E7094"/>
    <w:rsid w:val="00A54E37"/>
    <w:rsid w:val="00AE6F5B"/>
    <w:rsid w:val="00AE7BF5"/>
    <w:rsid w:val="00B13E5A"/>
    <w:rsid w:val="00B439D0"/>
    <w:rsid w:val="00BA6DB4"/>
    <w:rsid w:val="00BB27C9"/>
    <w:rsid w:val="00C456F9"/>
    <w:rsid w:val="00C510E9"/>
    <w:rsid w:val="00D91292"/>
    <w:rsid w:val="00E23770"/>
    <w:rsid w:val="00E61ED8"/>
    <w:rsid w:val="00EB6356"/>
    <w:rsid w:val="00F53578"/>
    <w:rsid w:val="00F70143"/>
    <w:rsid w:val="00FF2C70"/>
    <w:rsid w:val="012305CE"/>
    <w:rsid w:val="01281EE5"/>
    <w:rsid w:val="018F0A8E"/>
    <w:rsid w:val="01DC5624"/>
    <w:rsid w:val="023D34F8"/>
    <w:rsid w:val="03411EDC"/>
    <w:rsid w:val="043C5FAE"/>
    <w:rsid w:val="048E3795"/>
    <w:rsid w:val="04B50DAE"/>
    <w:rsid w:val="064D5F65"/>
    <w:rsid w:val="067F223D"/>
    <w:rsid w:val="06B1727A"/>
    <w:rsid w:val="06C510AB"/>
    <w:rsid w:val="074E5FB6"/>
    <w:rsid w:val="07600DB1"/>
    <w:rsid w:val="08503B02"/>
    <w:rsid w:val="08930F12"/>
    <w:rsid w:val="08B05BA6"/>
    <w:rsid w:val="08B33250"/>
    <w:rsid w:val="0A2228BE"/>
    <w:rsid w:val="0A6E7768"/>
    <w:rsid w:val="0A8D49FB"/>
    <w:rsid w:val="0AEC39F9"/>
    <w:rsid w:val="0BD4544E"/>
    <w:rsid w:val="0CB677F4"/>
    <w:rsid w:val="0D387615"/>
    <w:rsid w:val="0D3F09CA"/>
    <w:rsid w:val="0E0C489A"/>
    <w:rsid w:val="10014294"/>
    <w:rsid w:val="10D40444"/>
    <w:rsid w:val="10E7656E"/>
    <w:rsid w:val="11A73C8D"/>
    <w:rsid w:val="11F56F16"/>
    <w:rsid w:val="1327239B"/>
    <w:rsid w:val="13802100"/>
    <w:rsid w:val="13A12C42"/>
    <w:rsid w:val="13A206C4"/>
    <w:rsid w:val="13AE7D5A"/>
    <w:rsid w:val="13C96A30"/>
    <w:rsid w:val="14193B86"/>
    <w:rsid w:val="14B11683"/>
    <w:rsid w:val="152B0D22"/>
    <w:rsid w:val="15AE6845"/>
    <w:rsid w:val="15CE21FB"/>
    <w:rsid w:val="15E6010D"/>
    <w:rsid w:val="161940C9"/>
    <w:rsid w:val="161B3CE2"/>
    <w:rsid w:val="163C5AEE"/>
    <w:rsid w:val="16756285"/>
    <w:rsid w:val="17070465"/>
    <w:rsid w:val="17373603"/>
    <w:rsid w:val="1777407A"/>
    <w:rsid w:val="17B976EE"/>
    <w:rsid w:val="19CC6C6E"/>
    <w:rsid w:val="1A76158E"/>
    <w:rsid w:val="1A832B05"/>
    <w:rsid w:val="1AB05F99"/>
    <w:rsid w:val="1B120F41"/>
    <w:rsid w:val="1C022402"/>
    <w:rsid w:val="1CB727DF"/>
    <w:rsid w:val="1D857BFA"/>
    <w:rsid w:val="1D9C596C"/>
    <w:rsid w:val="1DA13106"/>
    <w:rsid w:val="1DC26573"/>
    <w:rsid w:val="1E0616E7"/>
    <w:rsid w:val="1F7B0A4C"/>
    <w:rsid w:val="22056993"/>
    <w:rsid w:val="221D7F2E"/>
    <w:rsid w:val="22221625"/>
    <w:rsid w:val="23663830"/>
    <w:rsid w:val="24407A49"/>
    <w:rsid w:val="26FD5932"/>
    <w:rsid w:val="270057C7"/>
    <w:rsid w:val="27125E10"/>
    <w:rsid w:val="27603BE9"/>
    <w:rsid w:val="293811B0"/>
    <w:rsid w:val="2986778B"/>
    <w:rsid w:val="2B19167E"/>
    <w:rsid w:val="2B22643D"/>
    <w:rsid w:val="2BDE6CFC"/>
    <w:rsid w:val="2CB94FE4"/>
    <w:rsid w:val="2CF40298"/>
    <w:rsid w:val="2D106B5B"/>
    <w:rsid w:val="2DD300BC"/>
    <w:rsid w:val="2F727CE6"/>
    <w:rsid w:val="2F9D401D"/>
    <w:rsid w:val="2FD7017E"/>
    <w:rsid w:val="30CE7C2B"/>
    <w:rsid w:val="313047C4"/>
    <w:rsid w:val="317639CB"/>
    <w:rsid w:val="31D7248B"/>
    <w:rsid w:val="31EC5663"/>
    <w:rsid w:val="32344C40"/>
    <w:rsid w:val="323D0F05"/>
    <w:rsid w:val="32547EBA"/>
    <w:rsid w:val="33666FF1"/>
    <w:rsid w:val="33F626B2"/>
    <w:rsid w:val="34391BEF"/>
    <w:rsid w:val="3446286A"/>
    <w:rsid w:val="34E31A07"/>
    <w:rsid w:val="359A38F8"/>
    <w:rsid w:val="360755E5"/>
    <w:rsid w:val="362810E2"/>
    <w:rsid w:val="37195F39"/>
    <w:rsid w:val="37692746"/>
    <w:rsid w:val="37A11805"/>
    <w:rsid w:val="37E97093"/>
    <w:rsid w:val="380D264C"/>
    <w:rsid w:val="38204480"/>
    <w:rsid w:val="382B0EB3"/>
    <w:rsid w:val="38A5428E"/>
    <w:rsid w:val="38C5310B"/>
    <w:rsid w:val="38FB4C32"/>
    <w:rsid w:val="392B56C5"/>
    <w:rsid w:val="39742369"/>
    <w:rsid w:val="39861023"/>
    <w:rsid w:val="3ACC222B"/>
    <w:rsid w:val="3B170879"/>
    <w:rsid w:val="3C686BA6"/>
    <w:rsid w:val="3D366146"/>
    <w:rsid w:val="400A32A5"/>
    <w:rsid w:val="401C1DD2"/>
    <w:rsid w:val="409E2E55"/>
    <w:rsid w:val="40B72E70"/>
    <w:rsid w:val="411D5225"/>
    <w:rsid w:val="414B47A8"/>
    <w:rsid w:val="4152413E"/>
    <w:rsid w:val="415E1A4D"/>
    <w:rsid w:val="418D16C6"/>
    <w:rsid w:val="41E94145"/>
    <w:rsid w:val="430D6CAE"/>
    <w:rsid w:val="436C75F0"/>
    <w:rsid w:val="437E616A"/>
    <w:rsid w:val="43A129B9"/>
    <w:rsid w:val="442413EC"/>
    <w:rsid w:val="444E0B7D"/>
    <w:rsid w:val="44CE07C6"/>
    <w:rsid w:val="452644FF"/>
    <w:rsid w:val="45F42FCF"/>
    <w:rsid w:val="47142777"/>
    <w:rsid w:val="472F30D2"/>
    <w:rsid w:val="47671046"/>
    <w:rsid w:val="47D72FCD"/>
    <w:rsid w:val="47F67EA2"/>
    <w:rsid w:val="4812552C"/>
    <w:rsid w:val="48CF521D"/>
    <w:rsid w:val="490716B0"/>
    <w:rsid w:val="4A900B67"/>
    <w:rsid w:val="4A911B39"/>
    <w:rsid w:val="4C750CD1"/>
    <w:rsid w:val="4C8501FA"/>
    <w:rsid w:val="4D6E4C5A"/>
    <w:rsid w:val="4DAC3FBB"/>
    <w:rsid w:val="4E8F1962"/>
    <w:rsid w:val="4F155E63"/>
    <w:rsid w:val="4FDC7852"/>
    <w:rsid w:val="50603F05"/>
    <w:rsid w:val="50B87750"/>
    <w:rsid w:val="514603CB"/>
    <w:rsid w:val="519E2E63"/>
    <w:rsid w:val="521051B6"/>
    <w:rsid w:val="52730DCF"/>
    <w:rsid w:val="55186629"/>
    <w:rsid w:val="55BE2CCC"/>
    <w:rsid w:val="570D1A16"/>
    <w:rsid w:val="577053BD"/>
    <w:rsid w:val="57931EA9"/>
    <w:rsid w:val="589C176E"/>
    <w:rsid w:val="596B4060"/>
    <w:rsid w:val="59DE383D"/>
    <w:rsid w:val="5A311693"/>
    <w:rsid w:val="5A712E86"/>
    <w:rsid w:val="5B8D43F0"/>
    <w:rsid w:val="5BEE3F7C"/>
    <w:rsid w:val="5CA96F2F"/>
    <w:rsid w:val="5D14403F"/>
    <w:rsid w:val="5DFA5F70"/>
    <w:rsid w:val="5E742AD8"/>
    <w:rsid w:val="5EF265EB"/>
    <w:rsid w:val="5F901888"/>
    <w:rsid w:val="5FD15884"/>
    <w:rsid w:val="60462F5E"/>
    <w:rsid w:val="60595D3A"/>
    <w:rsid w:val="60863B5C"/>
    <w:rsid w:val="60880698"/>
    <w:rsid w:val="608B498F"/>
    <w:rsid w:val="609F702C"/>
    <w:rsid w:val="61AB47F2"/>
    <w:rsid w:val="61D873BF"/>
    <w:rsid w:val="61FC4E28"/>
    <w:rsid w:val="62121814"/>
    <w:rsid w:val="62AF5C27"/>
    <w:rsid w:val="62D96000"/>
    <w:rsid w:val="63E23618"/>
    <w:rsid w:val="63E975F8"/>
    <w:rsid w:val="64E34EF3"/>
    <w:rsid w:val="656D07F8"/>
    <w:rsid w:val="65840B4F"/>
    <w:rsid w:val="65C73B99"/>
    <w:rsid w:val="6642746F"/>
    <w:rsid w:val="66E8475E"/>
    <w:rsid w:val="68ED4D1C"/>
    <w:rsid w:val="69F44880"/>
    <w:rsid w:val="6AD44D57"/>
    <w:rsid w:val="6B460B8C"/>
    <w:rsid w:val="6D975F80"/>
    <w:rsid w:val="6E0D7A9C"/>
    <w:rsid w:val="6E373BED"/>
    <w:rsid w:val="6E8827BD"/>
    <w:rsid w:val="6E8E7242"/>
    <w:rsid w:val="6F2D3D6B"/>
    <w:rsid w:val="6F8419C6"/>
    <w:rsid w:val="6FD01098"/>
    <w:rsid w:val="70F44DB6"/>
    <w:rsid w:val="71514CEC"/>
    <w:rsid w:val="71C011DC"/>
    <w:rsid w:val="71EC1C25"/>
    <w:rsid w:val="7324525B"/>
    <w:rsid w:val="739772EE"/>
    <w:rsid w:val="73DB080D"/>
    <w:rsid w:val="741E5AB1"/>
    <w:rsid w:val="749C2CC3"/>
    <w:rsid w:val="75C96439"/>
    <w:rsid w:val="766E17DB"/>
    <w:rsid w:val="7696711C"/>
    <w:rsid w:val="76E40E5C"/>
    <w:rsid w:val="77177EC8"/>
    <w:rsid w:val="775A2CD1"/>
    <w:rsid w:val="78812509"/>
    <w:rsid w:val="794E5C13"/>
    <w:rsid w:val="79800315"/>
    <w:rsid w:val="79C55D56"/>
    <w:rsid w:val="7A1F0C9C"/>
    <w:rsid w:val="7A4E4189"/>
    <w:rsid w:val="7B3C7D63"/>
    <w:rsid w:val="7B9120F6"/>
    <w:rsid w:val="7BD17279"/>
    <w:rsid w:val="7BF12762"/>
    <w:rsid w:val="7C405DB4"/>
    <w:rsid w:val="7C4A5F08"/>
    <w:rsid w:val="7CA36F86"/>
    <w:rsid w:val="7D053C40"/>
    <w:rsid w:val="7D492462"/>
    <w:rsid w:val="7F091241"/>
    <w:rsid w:val="7F375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0"/>
    <w:pPr>
      <w:spacing w:after="120"/>
    </w:pPr>
  </w:style>
  <w:style w:type="paragraph" w:styleId="6">
    <w:name w:val="toc 2"/>
    <w:basedOn w:val="1"/>
    <w:next w:val="1"/>
    <w:qFormat/>
    <w:uiPriority w:val="0"/>
    <w:pPr>
      <w:ind w:left="210"/>
    </w:pPr>
    <w:rPr>
      <w:rFonts w:ascii="Calibri" w:hAnsi="Calibri"/>
      <w:smallCaps/>
    </w:rPr>
  </w:style>
  <w:style w:type="paragraph" w:styleId="7">
    <w:name w:val="Body Text Indent"/>
    <w:basedOn w:val="1"/>
    <w:qFormat/>
    <w:uiPriority w:val="0"/>
    <w:pPr>
      <w:ind w:firstLine="178" w:firstLineChars="178"/>
    </w:pPr>
    <w:rPr>
      <w:sz w:val="2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标题3"/>
    <w:basedOn w:val="1"/>
    <w:next w:val="3"/>
    <w:qFormat/>
    <w:uiPriority w:val="0"/>
    <w:pPr>
      <w:adjustRightInd w:val="0"/>
      <w:spacing w:line="360" w:lineRule="auto"/>
    </w:pPr>
    <w:rPr>
      <w:rFonts w:ascii="Arial" w:hAnsi="Arial" w:eastAsia="黑体"/>
      <w:sz w:val="28"/>
      <w:szCs w:val="28"/>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2919</Words>
  <Characters>3103</Characters>
  <Lines>23</Lines>
  <Paragraphs>6</Paragraphs>
  <TotalTime>0</TotalTime>
  <ScaleCrop>false</ScaleCrop>
  <LinksUpToDate>false</LinksUpToDate>
  <CharactersWithSpaces>3151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Administrator</cp:lastModifiedBy>
  <cp:lastPrinted>2021-08-21T08:29:00Z</cp:lastPrinted>
  <dcterms:modified xsi:type="dcterms:W3CDTF">2025-05-26T05:33:28Z</dcterms:modified>
  <dc:title>江阴市实验小学北校区景观工程--清单编制总说明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BFEFD7A1459C4E058DCC1238A5AB2A61</vt:lpwstr>
  </property>
  <property fmtid="{D5CDD505-2E9C-101B-9397-08002B2CF9AE}" pid="4" name="KSOTemplateDocerSaveRecord">
    <vt:lpwstr>eyJoZGlkIjoiNzQ4MzJkMjExOWMyYTlmYjg3ZTFhYjEzZTI2YWZjMWUiLCJ1c2VySWQiOiI1MzQ2NDk1MjYifQ==</vt:lpwstr>
  </property>
</Properties>
</file>